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A476D57" wp14:editId="213A95D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4D6BCB">
        <w:rPr>
          <w:rFonts w:ascii="Arial" w:hAnsi="Arial" w:cs="Arial"/>
          <w:b/>
          <w:sz w:val="31"/>
          <w:szCs w:val="31"/>
        </w:rPr>
        <w:t>6</w:t>
      </w:r>
      <w:r w:rsidR="00224344">
        <w:rPr>
          <w:rFonts w:ascii="Arial" w:hAnsi="Arial" w:cs="Arial"/>
          <w:b/>
          <w:sz w:val="31"/>
          <w:szCs w:val="31"/>
        </w:rPr>
        <w:t>7</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EF0EED" w:rsidRPr="00EF0EED" w:rsidRDefault="00EF0EED" w:rsidP="00EF0EED">
      <w:pPr>
        <w:jc w:val="center"/>
        <w:rPr>
          <w:rFonts w:ascii="Arial" w:hAnsi="Arial" w:cs="Arial"/>
          <w:b/>
          <w:sz w:val="36"/>
          <w:szCs w:val="36"/>
        </w:rPr>
      </w:pPr>
      <w:r w:rsidRPr="00EF0EED">
        <w:rPr>
          <w:rFonts w:ascii="Arial" w:hAnsi="Arial" w:cs="Arial"/>
          <w:b/>
          <w:sz w:val="36"/>
          <w:szCs w:val="36"/>
        </w:rPr>
        <w:t>Inicia seminario “La liber</w:t>
      </w:r>
      <w:r>
        <w:rPr>
          <w:rFonts w:ascii="Arial" w:hAnsi="Arial" w:cs="Arial"/>
          <w:b/>
          <w:sz w:val="36"/>
          <w:szCs w:val="36"/>
        </w:rPr>
        <w:t>t</w:t>
      </w:r>
      <w:r w:rsidRPr="00EF0EED">
        <w:rPr>
          <w:rFonts w:ascii="Arial" w:hAnsi="Arial" w:cs="Arial"/>
          <w:b/>
          <w:sz w:val="36"/>
          <w:szCs w:val="36"/>
        </w:rPr>
        <w:t>ad de cátedra y de investigación en el ámbito de los Derechos Humanos”</w:t>
      </w:r>
    </w:p>
    <w:p w:rsidR="00EF0EED" w:rsidRPr="00EF0EED" w:rsidRDefault="00EF0EED" w:rsidP="00EF0EED">
      <w:pPr>
        <w:jc w:val="both"/>
        <w:rPr>
          <w:rFonts w:ascii="Arial" w:hAnsi="Arial" w:cs="Arial"/>
          <w:sz w:val="24"/>
          <w:szCs w:val="24"/>
        </w:rPr>
      </w:pPr>
    </w:p>
    <w:p w:rsidR="00EF0EED" w:rsidRPr="00EF0EED" w:rsidRDefault="000A4C0E" w:rsidP="00EF0EED">
      <w:pPr>
        <w:pStyle w:val="Prrafodelista"/>
        <w:numPr>
          <w:ilvl w:val="0"/>
          <w:numId w:val="41"/>
        </w:numPr>
        <w:ind w:left="284" w:hanging="284"/>
        <w:jc w:val="both"/>
        <w:rPr>
          <w:rFonts w:ascii="Arial" w:hAnsi="Arial" w:cs="Arial"/>
          <w:sz w:val="24"/>
          <w:szCs w:val="24"/>
        </w:rPr>
      </w:pPr>
      <w:r>
        <w:rPr>
          <w:rFonts w:ascii="Arial" w:hAnsi="Arial" w:cs="Arial"/>
          <w:sz w:val="24"/>
          <w:szCs w:val="24"/>
        </w:rPr>
        <w:t>La UABC busca</w:t>
      </w:r>
      <w:r w:rsidR="00997480" w:rsidRPr="00997480">
        <w:rPr>
          <w:rFonts w:ascii="Arial" w:hAnsi="Arial" w:cs="Arial"/>
          <w:sz w:val="24"/>
          <w:szCs w:val="24"/>
        </w:rPr>
        <w:t xml:space="preserve"> </w:t>
      </w:r>
      <w:r w:rsidR="00997480" w:rsidRPr="00EF0EED">
        <w:rPr>
          <w:rFonts w:ascii="Arial" w:hAnsi="Arial" w:cs="Arial"/>
          <w:sz w:val="24"/>
          <w:szCs w:val="24"/>
        </w:rPr>
        <w:t xml:space="preserve">implementar diversas acciones en </w:t>
      </w:r>
      <w:r>
        <w:rPr>
          <w:rFonts w:ascii="Arial" w:hAnsi="Arial" w:cs="Arial"/>
          <w:sz w:val="24"/>
          <w:szCs w:val="24"/>
        </w:rPr>
        <w:t>esta</w:t>
      </w:r>
      <w:r w:rsidR="00997480" w:rsidRPr="00EF0EED">
        <w:rPr>
          <w:rFonts w:ascii="Arial" w:hAnsi="Arial" w:cs="Arial"/>
          <w:sz w:val="24"/>
          <w:szCs w:val="24"/>
        </w:rPr>
        <w:t xml:space="preserve"> materia</w:t>
      </w:r>
      <w:r>
        <w:rPr>
          <w:rFonts w:ascii="Arial" w:hAnsi="Arial" w:cs="Arial"/>
          <w:sz w:val="24"/>
          <w:szCs w:val="24"/>
        </w:rPr>
        <w:t>.</w:t>
      </w: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sidRPr="00EF0EED">
        <w:rPr>
          <w:rFonts w:ascii="Arial" w:hAnsi="Arial" w:cs="Arial"/>
          <w:b/>
          <w:sz w:val="24"/>
          <w:szCs w:val="24"/>
        </w:rPr>
        <w:t>Tijuana, B.C., a miércoles 30 de octubre de 2013.</w:t>
      </w:r>
      <w:r>
        <w:rPr>
          <w:rFonts w:ascii="Arial" w:hAnsi="Arial" w:cs="Arial"/>
          <w:sz w:val="24"/>
          <w:szCs w:val="24"/>
        </w:rPr>
        <w:t xml:space="preserve">- </w:t>
      </w:r>
      <w:r w:rsidRPr="00EF0EED">
        <w:rPr>
          <w:rFonts w:ascii="Arial" w:hAnsi="Arial" w:cs="Arial"/>
          <w:sz w:val="24"/>
          <w:szCs w:val="24"/>
        </w:rPr>
        <w:t>Con el objetivo de informar sobre el nuevo paradigma constitucional en materia de derechos humanos y analizar el derecho humano a la libertad de cátedra e investigación desde la perspectiva del académico en el ejercicio y trascendencia en el quehacer universitario se llevará a cabo el seminario “La liber</w:t>
      </w:r>
      <w:r>
        <w:rPr>
          <w:rFonts w:ascii="Arial" w:hAnsi="Arial" w:cs="Arial"/>
          <w:sz w:val="24"/>
          <w:szCs w:val="24"/>
        </w:rPr>
        <w:t>t</w:t>
      </w:r>
      <w:r w:rsidRPr="00EF0EED">
        <w:rPr>
          <w:rFonts w:ascii="Arial" w:hAnsi="Arial" w:cs="Arial"/>
          <w:sz w:val="24"/>
          <w:szCs w:val="24"/>
        </w:rPr>
        <w:t xml:space="preserve">ad de cátedra y de investigación en el </w:t>
      </w:r>
      <w:r>
        <w:rPr>
          <w:rFonts w:ascii="Arial" w:hAnsi="Arial" w:cs="Arial"/>
          <w:sz w:val="24"/>
          <w:szCs w:val="24"/>
        </w:rPr>
        <w:t>ámbito de los Derechos Humanos” en la Universidad Autónoma de Baja California (UABC).</w:t>
      </w:r>
      <w:r w:rsidRPr="00EF0EED">
        <w:rPr>
          <w:rFonts w:ascii="Arial" w:hAnsi="Arial" w:cs="Arial"/>
          <w:sz w:val="24"/>
          <w:szCs w:val="24"/>
        </w:rPr>
        <w:t xml:space="preserve"> </w:t>
      </w: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sidRPr="00EF0EED">
        <w:rPr>
          <w:rFonts w:ascii="Arial" w:hAnsi="Arial" w:cs="Arial"/>
          <w:sz w:val="24"/>
          <w:szCs w:val="24"/>
        </w:rPr>
        <w:t>La ceremonia inaugural fue llevada a cabo en el Teatro Universitario</w:t>
      </w:r>
      <w:r>
        <w:rPr>
          <w:rFonts w:ascii="Arial" w:hAnsi="Arial" w:cs="Arial"/>
          <w:sz w:val="24"/>
          <w:szCs w:val="24"/>
        </w:rPr>
        <w:t xml:space="preserve"> de la</w:t>
      </w:r>
      <w:r w:rsidRPr="00EF0EED">
        <w:rPr>
          <w:rFonts w:ascii="Arial" w:hAnsi="Arial" w:cs="Arial"/>
          <w:sz w:val="24"/>
          <w:szCs w:val="24"/>
        </w:rPr>
        <w:t xml:space="preserve"> Unidad Tecate, ante la presencia</w:t>
      </w:r>
      <w:r w:rsidR="000A4C0E">
        <w:rPr>
          <w:rFonts w:ascii="Arial" w:hAnsi="Arial" w:cs="Arial"/>
          <w:sz w:val="24"/>
          <w:szCs w:val="24"/>
        </w:rPr>
        <w:t xml:space="preserve"> más de 100</w:t>
      </w:r>
      <w:r w:rsidR="00D23782">
        <w:rPr>
          <w:rFonts w:ascii="Arial" w:hAnsi="Arial" w:cs="Arial"/>
          <w:sz w:val="24"/>
          <w:szCs w:val="24"/>
        </w:rPr>
        <w:t xml:space="preserve"> personas entre</w:t>
      </w:r>
      <w:r w:rsidRPr="00EF0EED">
        <w:rPr>
          <w:rFonts w:ascii="Arial" w:hAnsi="Arial" w:cs="Arial"/>
          <w:sz w:val="24"/>
          <w:szCs w:val="24"/>
        </w:rPr>
        <w:t xml:space="preserve"> profesores, investigadores, consejeros universitarios representantes del personal académico, consejeros de las áreas académicas, líderes de los cuerpos académicos de </w:t>
      </w:r>
      <w:smartTag w:uri="urn:schemas-microsoft-com:office:smarttags" w:element="PersonName">
        <w:smartTagPr>
          <w:attr w:name="ProductID" w:val="la UABC Campus"/>
        </w:smartTagPr>
        <w:smartTag w:uri="urn:schemas-microsoft-com:office:smarttags" w:element="PersonName">
          <w:smartTagPr>
            <w:attr w:name="ProductID" w:val="la UABC"/>
          </w:smartTagPr>
          <w:r w:rsidRPr="00EF0EED">
            <w:rPr>
              <w:rFonts w:ascii="Arial" w:hAnsi="Arial" w:cs="Arial"/>
              <w:sz w:val="24"/>
              <w:szCs w:val="24"/>
            </w:rPr>
            <w:t>la UABC</w:t>
          </w:r>
        </w:smartTag>
        <w:r w:rsidRPr="00EF0EED">
          <w:rPr>
            <w:rFonts w:ascii="Arial" w:hAnsi="Arial" w:cs="Arial"/>
            <w:sz w:val="24"/>
            <w:szCs w:val="24"/>
          </w:rPr>
          <w:t xml:space="preserve"> Campus</w:t>
        </w:r>
      </w:smartTag>
      <w:r w:rsidRPr="00EF0EED">
        <w:rPr>
          <w:rFonts w:ascii="Arial" w:hAnsi="Arial" w:cs="Arial"/>
          <w:sz w:val="24"/>
          <w:szCs w:val="24"/>
        </w:rPr>
        <w:t xml:space="preserve"> Mexicali, así como a los académicos miembros del Sistema Nacional de Investigación (SIN), a quienes está dirigido el evento. </w:t>
      </w:r>
    </w:p>
    <w:p w:rsidR="00EF0EED" w:rsidRPr="00EF0EED" w:rsidRDefault="00EF0EED" w:rsidP="00EF0EED">
      <w:pPr>
        <w:jc w:val="both"/>
        <w:rPr>
          <w:rFonts w:ascii="Arial" w:hAnsi="Arial" w:cs="Arial"/>
          <w:sz w:val="24"/>
          <w:szCs w:val="24"/>
        </w:rPr>
      </w:pPr>
      <w:r w:rsidRPr="00EF0EED">
        <w:rPr>
          <w:rFonts w:ascii="Arial" w:hAnsi="Arial" w:cs="Arial"/>
          <w:sz w:val="24"/>
          <w:szCs w:val="24"/>
        </w:rPr>
        <w:t xml:space="preserve"> </w:t>
      </w:r>
    </w:p>
    <w:p w:rsidR="00EF0EED" w:rsidRPr="00EF0EED" w:rsidRDefault="00EF0EED" w:rsidP="00EF0EED">
      <w:pPr>
        <w:jc w:val="both"/>
        <w:rPr>
          <w:rFonts w:ascii="Arial" w:hAnsi="Arial" w:cs="Arial"/>
          <w:sz w:val="24"/>
          <w:szCs w:val="24"/>
        </w:rPr>
      </w:pPr>
      <w:r w:rsidRPr="00EF0EED">
        <w:rPr>
          <w:rFonts w:ascii="Arial" w:hAnsi="Arial" w:cs="Arial"/>
          <w:sz w:val="24"/>
          <w:szCs w:val="24"/>
        </w:rPr>
        <w:t xml:space="preserve">El doctor Felipe </w:t>
      </w:r>
      <w:proofErr w:type="spellStart"/>
      <w:r w:rsidRPr="00EF0EED">
        <w:rPr>
          <w:rFonts w:ascii="Arial" w:hAnsi="Arial" w:cs="Arial"/>
          <w:sz w:val="24"/>
          <w:szCs w:val="24"/>
        </w:rPr>
        <w:t>Cuamea</w:t>
      </w:r>
      <w:proofErr w:type="spellEnd"/>
      <w:r w:rsidRPr="00EF0EED">
        <w:rPr>
          <w:rFonts w:ascii="Arial" w:hAnsi="Arial" w:cs="Arial"/>
          <w:sz w:val="24"/>
          <w:szCs w:val="24"/>
        </w:rPr>
        <w:t xml:space="preserve"> Velázquez, </w:t>
      </w:r>
      <w:r w:rsidR="00E32A2E">
        <w:rPr>
          <w:rFonts w:ascii="Arial" w:hAnsi="Arial" w:cs="Arial"/>
          <w:sz w:val="24"/>
          <w:szCs w:val="24"/>
        </w:rPr>
        <w:t xml:space="preserve">Rector de la Máxima Casa de Estudios, </w:t>
      </w:r>
      <w:r w:rsidRPr="00EF0EED">
        <w:rPr>
          <w:rFonts w:ascii="Arial" w:hAnsi="Arial" w:cs="Arial"/>
          <w:sz w:val="24"/>
          <w:szCs w:val="24"/>
        </w:rPr>
        <w:t xml:space="preserve">expresó </w:t>
      </w:r>
      <w:r>
        <w:rPr>
          <w:rFonts w:ascii="Arial" w:hAnsi="Arial" w:cs="Arial"/>
          <w:sz w:val="24"/>
          <w:szCs w:val="24"/>
        </w:rPr>
        <w:t>que este evento organizado por el Centro de Estudios Sobre la Universidad (CESU)</w:t>
      </w:r>
      <w:r w:rsidR="00E32A2E">
        <w:rPr>
          <w:rFonts w:ascii="Arial" w:hAnsi="Arial" w:cs="Arial"/>
          <w:sz w:val="24"/>
          <w:szCs w:val="24"/>
        </w:rPr>
        <w:t xml:space="preserve"> de la UABC</w:t>
      </w:r>
      <w:r>
        <w:rPr>
          <w:rFonts w:ascii="Arial" w:hAnsi="Arial" w:cs="Arial"/>
          <w:sz w:val="24"/>
          <w:szCs w:val="24"/>
        </w:rPr>
        <w:t>, permitirá</w:t>
      </w:r>
      <w:r w:rsidRPr="00EF0EED">
        <w:rPr>
          <w:rFonts w:ascii="Arial" w:hAnsi="Arial" w:cs="Arial"/>
          <w:sz w:val="24"/>
          <w:szCs w:val="24"/>
        </w:rPr>
        <w:t xml:space="preserve"> que el tema de los derechos humanos se convierta en uno de los ejes transversales del quehacer universitarios en todas la</w:t>
      </w:r>
      <w:r>
        <w:rPr>
          <w:rFonts w:ascii="Arial" w:hAnsi="Arial" w:cs="Arial"/>
          <w:sz w:val="24"/>
          <w:szCs w:val="24"/>
        </w:rPr>
        <w:t xml:space="preserve">s áreas y en todos los niveles. Señaló que es importante que a través de este seminario </w:t>
      </w:r>
      <w:r w:rsidRPr="00EF0EED">
        <w:rPr>
          <w:rFonts w:ascii="Arial" w:hAnsi="Arial" w:cs="Arial"/>
          <w:sz w:val="24"/>
          <w:szCs w:val="24"/>
        </w:rPr>
        <w:t>surjan propuestas concretas que a su vez se conformen en un programa universitario de derechos humanos.</w:t>
      </w:r>
    </w:p>
    <w:p w:rsid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sidRPr="00EF0EED">
        <w:rPr>
          <w:rFonts w:ascii="Arial" w:hAnsi="Arial" w:cs="Arial"/>
          <w:sz w:val="24"/>
          <w:szCs w:val="24"/>
        </w:rPr>
        <w:t xml:space="preserve">El doctor Alfredo Félix Buenrostro Ceballos, Coordinador del </w:t>
      </w:r>
      <w:r>
        <w:rPr>
          <w:rFonts w:ascii="Arial" w:hAnsi="Arial" w:cs="Arial"/>
          <w:sz w:val="24"/>
          <w:szCs w:val="24"/>
        </w:rPr>
        <w:t>CESU</w:t>
      </w:r>
      <w:r w:rsidRPr="00EF0EED">
        <w:rPr>
          <w:rFonts w:ascii="Arial" w:hAnsi="Arial" w:cs="Arial"/>
          <w:sz w:val="24"/>
          <w:szCs w:val="24"/>
        </w:rPr>
        <w:t xml:space="preserve">, </w:t>
      </w:r>
      <w:r>
        <w:rPr>
          <w:rFonts w:ascii="Arial" w:hAnsi="Arial" w:cs="Arial"/>
          <w:sz w:val="24"/>
          <w:szCs w:val="24"/>
        </w:rPr>
        <w:t>agradeció</w:t>
      </w:r>
      <w:r w:rsidRPr="00EF0EED">
        <w:rPr>
          <w:rFonts w:ascii="Arial" w:hAnsi="Arial" w:cs="Arial"/>
          <w:sz w:val="24"/>
          <w:szCs w:val="24"/>
        </w:rPr>
        <w:t xml:space="preserve"> a todos los presentes por </w:t>
      </w:r>
      <w:r>
        <w:rPr>
          <w:rFonts w:ascii="Arial" w:hAnsi="Arial" w:cs="Arial"/>
          <w:sz w:val="24"/>
          <w:szCs w:val="24"/>
        </w:rPr>
        <w:t xml:space="preserve">asistir al evento. </w:t>
      </w:r>
      <w:r w:rsidRPr="00EF0EED">
        <w:rPr>
          <w:rFonts w:ascii="Arial" w:hAnsi="Arial" w:cs="Arial"/>
          <w:sz w:val="24"/>
          <w:szCs w:val="24"/>
        </w:rPr>
        <w:t>“El seminario se organiza para darle continuidad al programa denominado ‘Reflexiones universitarias sobre los derechos humanos’, que tiene la finalidad de diseñar de manera participativa el programa universitario en materia de derechos humanos a partir de las propuestas e iniciativas que presenta la comunidad universitaria a fin de que sirvan de base para implementar diversas acciones en la materia dentro del ámbito de nuestra Universidad”, comentó</w:t>
      </w:r>
      <w:r>
        <w:rPr>
          <w:rFonts w:ascii="Arial" w:hAnsi="Arial" w:cs="Arial"/>
          <w:sz w:val="24"/>
          <w:szCs w:val="24"/>
        </w:rPr>
        <w:t>.</w:t>
      </w:r>
      <w:r w:rsidRPr="00EF0EED">
        <w:rPr>
          <w:rFonts w:ascii="Arial" w:hAnsi="Arial" w:cs="Arial"/>
          <w:sz w:val="24"/>
          <w:szCs w:val="24"/>
        </w:rPr>
        <w:t xml:space="preserve"> </w:t>
      </w:r>
    </w:p>
    <w:p w:rsid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Pr>
          <w:rFonts w:ascii="Arial" w:hAnsi="Arial" w:cs="Arial"/>
          <w:sz w:val="24"/>
          <w:szCs w:val="24"/>
        </w:rPr>
        <w:t>Los trabajos del seminario iniciaron oficialmente con</w:t>
      </w:r>
      <w:r w:rsidRPr="00EF0EED">
        <w:rPr>
          <w:rFonts w:ascii="Arial" w:hAnsi="Arial" w:cs="Arial"/>
          <w:sz w:val="24"/>
          <w:szCs w:val="24"/>
        </w:rPr>
        <w:t xml:space="preserve"> la conferencia del</w:t>
      </w:r>
      <w:r>
        <w:rPr>
          <w:rFonts w:ascii="Arial" w:hAnsi="Arial" w:cs="Arial"/>
          <w:sz w:val="24"/>
          <w:szCs w:val="24"/>
        </w:rPr>
        <w:t xml:space="preserve"> doctor Mario Álvarez Ledesma, c</w:t>
      </w:r>
      <w:r w:rsidRPr="00EF0EED">
        <w:rPr>
          <w:rFonts w:ascii="Arial" w:hAnsi="Arial" w:cs="Arial"/>
          <w:sz w:val="24"/>
          <w:szCs w:val="24"/>
        </w:rPr>
        <w:t>atedrático del Departamento de Derechos Jurídicos y Sociales del ITESM, Campus Ciudad de México, titulada “El nuevo paradigma constitucional en materia de derechos humanos”. Seguida de la conferencia “</w:t>
      </w:r>
      <w:smartTag w:uri="urn:schemas-microsoft-com:office:smarttags" w:element="PersonName">
        <w:smartTagPr>
          <w:attr w:name="ProductID" w:val="La Libertad"/>
        </w:smartTagPr>
        <w:r w:rsidRPr="00EF0EED">
          <w:rPr>
            <w:rFonts w:ascii="Arial" w:hAnsi="Arial" w:cs="Arial"/>
            <w:sz w:val="24"/>
            <w:szCs w:val="24"/>
          </w:rPr>
          <w:t>La Libertad</w:t>
        </w:r>
      </w:smartTag>
      <w:r w:rsidRPr="00EF0EED">
        <w:rPr>
          <w:rFonts w:ascii="Arial" w:hAnsi="Arial" w:cs="Arial"/>
          <w:sz w:val="24"/>
          <w:szCs w:val="24"/>
        </w:rPr>
        <w:t xml:space="preserve"> de cátedra y de investigación en el ámbito de los derechos humanos”, por el doctor Roberto </w:t>
      </w:r>
      <w:proofErr w:type="spellStart"/>
      <w:r w:rsidRPr="00EF0EED">
        <w:rPr>
          <w:rFonts w:ascii="Arial" w:hAnsi="Arial" w:cs="Arial"/>
          <w:sz w:val="24"/>
          <w:szCs w:val="24"/>
        </w:rPr>
        <w:t>Cippitani</w:t>
      </w:r>
      <w:proofErr w:type="spellEnd"/>
      <w:r w:rsidRPr="00EF0EED">
        <w:rPr>
          <w:rFonts w:ascii="Arial" w:hAnsi="Arial" w:cs="Arial"/>
          <w:sz w:val="24"/>
          <w:szCs w:val="24"/>
        </w:rPr>
        <w:t xml:space="preserve">, Catedrático de </w:t>
      </w:r>
      <w:smartTag w:uri="urn:schemas-microsoft-com:office:smarttags" w:element="PersonName">
        <w:smartTagPr>
          <w:attr w:name="ProductID" w:val="la Universidad"/>
        </w:smartTagPr>
        <w:r w:rsidRPr="00EF0EED">
          <w:rPr>
            <w:rFonts w:ascii="Arial" w:hAnsi="Arial" w:cs="Arial"/>
            <w:sz w:val="24"/>
            <w:szCs w:val="24"/>
          </w:rPr>
          <w:t>la Universidad</w:t>
        </w:r>
      </w:smartTag>
      <w:r w:rsidRPr="00EF0EED">
        <w:rPr>
          <w:rFonts w:ascii="Arial" w:hAnsi="Arial" w:cs="Arial"/>
          <w:sz w:val="24"/>
          <w:szCs w:val="24"/>
        </w:rPr>
        <w:t xml:space="preserve"> de Perugia, Italia. </w:t>
      </w: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sidRPr="00EF0EED">
        <w:rPr>
          <w:rFonts w:ascii="Arial" w:hAnsi="Arial" w:cs="Arial"/>
          <w:sz w:val="24"/>
          <w:szCs w:val="24"/>
        </w:rPr>
        <w:lastRenderedPageBreak/>
        <w:t xml:space="preserve">El </w:t>
      </w:r>
      <w:r>
        <w:rPr>
          <w:rFonts w:ascii="Arial" w:hAnsi="Arial" w:cs="Arial"/>
          <w:sz w:val="24"/>
          <w:szCs w:val="24"/>
        </w:rPr>
        <w:t>seminario</w:t>
      </w:r>
      <w:r w:rsidRPr="00EF0EED">
        <w:rPr>
          <w:rFonts w:ascii="Arial" w:hAnsi="Arial" w:cs="Arial"/>
          <w:sz w:val="24"/>
          <w:szCs w:val="24"/>
        </w:rPr>
        <w:t xml:space="preserve"> también tiene como objetivo analizar el derecho humano a la libertad de cátedra y de investigación, que constituye una base fundamental de trabajo académico y propiciar la reflexión compartida. </w:t>
      </w:r>
      <w:r>
        <w:rPr>
          <w:rFonts w:ascii="Arial" w:hAnsi="Arial" w:cs="Arial"/>
          <w:sz w:val="24"/>
          <w:szCs w:val="24"/>
        </w:rPr>
        <w:t>Demás,</w:t>
      </w:r>
      <w:r w:rsidRPr="00EF0EED">
        <w:rPr>
          <w:rFonts w:ascii="Arial" w:hAnsi="Arial" w:cs="Arial"/>
          <w:sz w:val="24"/>
          <w:szCs w:val="24"/>
        </w:rPr>
        <w:t xml:space="preserve"> es una obligación de todas las autoridades, entre ellas las universitarias, de promover, respetar, proteger y garantizar los derechos humanos reconocidos por la propia Constitución Federal y los tratados internaci</w:t>
      </w:r>
      <w:r>
        <w:rPr>
          <w:rFonts w:ascii="Arial" w:hAnsi="Arial" w:cs="Arial"/>
          <w:sz w:val="24"/>
          <w:szCs w:val="24"/>
        </w:rPr>
        <w:t>onales que México tenga pactados</w:t>
      </w:r>
      <w:r w:rsidRPr="00EF0EED">
        <w:rPr>
          <w:rFonts w:ascii="Arial" w:hAnsi="Arial" w:cs="Arial"/>
          <w:sz w:val="24"/>
          <w:szCs w:val="24"/>
        </w:rPr>
        <w:t xml:space="preserve">.   </w:t>
      </w:r>
    </w:p>
    <w:p w:rsidR="00D9347B" w:rsidRDefault="00D9347B" w:rsidP="00EF0EED">
      <w:pPr>
        <w:jc w:val="both"/>
        <w:rPr>
          <w:rFonts w:ascii="Arial" w:hAnsi="Arial" w:cs="Arial"/>
          <w:sz w:val="24"/>
          <w:szCs w:val="24"/>
        </w:rPr>
      </w:pPr>
    </w:p>
    <w:p w:rsidR="00D9347B" w:rsidRPr="00EF0EED" w:rsidRDefault="00D9347B" w:rsidP="00D9347B">
      <w:pPr>
        <w:jc w:val="both"/>
        <w:rPr>
          <w:rFonts w:ascii="Arial" w:hAnsi="Arial" w:cs="Arial"/>
          <w:sz w:val="24"/>
          <w:szCs w:val="24"/>
        </w:rPr>
      </w:pPr>
      <w:r w:rsidRPr="00EF0EED">
        <w:rPr>
          <w:rFonts w:ascii="Arial" w:hAnsi="Arial" w:cs="Arial"/>
          <w:sz w:val="24"/>
          <w:szCs w:val="24"/>
        </w:rPr>
        <w:t xml:space="preserve">El programa del seminario continuará mañana jueves 31 de octubre ante la comunidad académica del Campus Tijuana y el viernes 1 de noviembre para el Campus Ensenada. </w:t>
      </w:r>
    </w:p>
    <w:p w:rsidR="00EF0EED" w:rsidRPr="00EF0EED" w:rsidRDefault="00EF0EED" w:rsidP="00EF0EED">
      <w:pPr>
        <w:jc w:val="both"/>
        <w:rPr>
          <w:rFonts w:ascii="Arial" w:hAnsi="Arial" w:cs="Arial"/>
          <w:sz w:val="24"/>
          <w:szCs w:val="24"/>
        </w:rPr>
      </w:pPr>
      <w:bookmarkStart w:id="0" w:name="_GoBack"/>
      <w:bookmarkEnd w:id="0"/>
      <w:r w:rsidRPr="00EF0EED">
        <w:rPr>
          <w:rFonts w:ascii="Arial" w:hAnsi="Arial" w:cs="Arial"/>
          <w:sz w:val="24"/>
          <w:szCs w:val="24"/>
        </w:rPr>
        <w:t xml:space="preserve"> </w:t>
      </w:r>
    </w:p>
    <w:p w:rsidR="00EF0EED" w:rsidRPr="00EF0EED" w:rsidRDefault="00EF0EED" w:rsidP="00EF0EED">
      <w:pPr>
        <w:jc w:val="both"/>
        <w:rPr>
          <w:rFonts w:ascii="Arial" w:hAnsi="Arial" w:cs="Arial"/>
          <w:sz w:val="24"/>
          <w:szCs w:val="24"/>
        </w:rPr>
      </w:pPr>
      <w:r>
        <w:rPr>
          <w:rFonts w:ascii="Arial" w:hAnsi="Arial" w:cs="Arial"/>
          <w:sz w:val="24"/>
          <w:szCs w:val="24"/>
        </w:rPr>
        <w:t xml:space="preserve">En la ceremonia inaugural también estuvo presente </w:t>
      </w:r>
      <w:r w:rsidRPr="00EF0EED">
        <w:rPr>
          <w:rFonts w:ascii="Arial" w:hAnsi="Arial" w:cs="Arial"/>
          <w:sz w:val="24"/>
          <w:szCs w:val="24"/>
        </w:rPr>
        <w:t xml:space="preserve">el maestro Héctor Baro Angulo, Presidente de </w:t>
      </w:r>
      <w:smartTag w:uri="urn:schemas-microsoft-com:office:smarttags" w:element="PersonName">
        <w:smartTagPr>
          <w:attr w:name="ProductID" w:val="la Junta"/>
        </w:smartTagPr>
        <w:r w:rsidRPr="00EF0EED">
          <w:rPr>
            <w:rFonts w:ascii="Arial" w:hAnsi="Arial" w:cs="Arial"/>
            <w:sz w:val="24"/>
            <w:szCs w:val="24"/>
          </w:rPr>
          <w:t>la Junta</w:t>
        </w:r>
      </w:smartTag>
      <w:r w:rsidRPr="00EF0EED">
        <w:rPr>
          <w:rFonts w:ascii="Arial" w:hAnsi="Arial" w:cs="Arial"/>
          <w:sz w:val="24"/>
          <w:szCs w:val="24"/>
        </w:rPr>
        <w:t xml:space="preserve"> de Gobierno</w:t>
      </w:r>
      <w:r>
        <w:rPr>
          <w:rFonts w:ascii="Arial" w:hAnsi="Arial" w:cs="Arial"/>
          <w:sz w:val="24"/>
          <w:szCs w:val="24"/>
        </w:rPr>
        <w:t>;</w:t>
      </w:r>
      <w:r w:rsidRPr="00EF0EED">
        <w:rPr>
          <w:rFonts w:ascii="Arial" w:hAnsi="Arial" w:cs="Arial"/>
          <w:sz w:val="24"/>
          <w:szCs w:val="24"/>
        </w:rPr>
        <w:t xml:space="preserve"> licenciado Gerardo Manuel Sosa </w:t>
      </w:r>
      <w:proofErr w:type="spellStart"/>
      <w:r w:rsidRPr="00EF0EED">
        <w:rPr>
          <w:rFonts w:ascii="Arial" w:hAnsi="Arial" w:cs="Arial"/>
          <w:sz w:val="24"/>
          <w:szCs w:val="24"/>
        </w:rPr>
        <w:t>Olachea</w:t>
      </w:r>
      <w:proofErr w:type="spellEnd"/>
      <w:r w:rsidRPr="00EF0EED">
        <w:rPr>
          <w:rFonts w:ascii="Arial" w:hAnsi="Arial" w:cs="Arial"/>
          <w:sz w:val="24"/>
          <w:szCs w:val="24"/>
        </w:rPr>
        <w:t>, Representante del Patronato Universitario</w:t>
      </w:r>
      <w:r>
        <w:rPr>
          <w:rFonts w:ascii="Arial" w:hAnsi="Arial" w:cs="Arial"/>
          <w:sz w:val="24"/>
          <w:szCs w:val="24"/>
        </w:rPr>
        <w:t xml:space="preserve">; </w:t>
      </w:r>
      <w:r w:rsidRPr="00EF0EED">
        <w:rPr>
          <w:rFonts w:ascii="Arial" w:hAnsi="Arial" w:cs="Arial"/>
          <w:sz w:val="24"/>
          <w:szCs w:val="24"/>
        </w:rPr>
        <w:t xml:space="preserve">los vicerrectores Oscar Roberto López Bonilla, Miguel Ángel Martínez Romero y José David </w:t>
      </w:r>
      <w:proofErr w:type="spellStart"/>
      <w:r w:rsidRPr="00EF0EED">
        <w:rPr>
          <w:rFonts w:ascii="Arial" w:hAnsi="Arial" w:cs="Arial"/>
          <w:sz w:val="24"/>
          <w:szCs w:val="24"/>
        </w:rPr>
        <w:t>Ledezma</w:t>
      </w:r>
      <w:proofErr w:type="spellEnd"/>
      <w:r w:rsidRPr="00EF0EED">
        <w:rPr>
          <w:rFonts w:ascii="Arial" w:hAnsi="Arial" w:cs="Arial"/>
          <w:sz w:val="24"/>
          <w:szCs w:val="24"/>
        </w:rPr>
        <w:t xml:space="preserve"> Torres, de Ensenada, Mexicali y Tijuana respectivamente. </w:t>
      </w: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r w:rsidRPr="00EF0EED">
        <w:rPr>
          <w:rFonts w:ascii="Arial" w:hAnsi="Arial" w:cs="Arial"/>
          <w:sz w:val="24"/>
          <w:szCs w:val="24"/>
        </w:rPr>
        <w:t>De igual forma se contó con la presencia de los ex</w:t>
      </w:r>
      <w:r>
        <w:rPr>
          <w:rFonts w:ascii="Arial" w:hAnsi="Arial" w:cs="Arial"/>
          <w:sz w:val="24"/>
          <w:szCs w:val="24"/>
        </w:rPr>
        <w:t xml:space="preserve"> </w:t>
      </w:r>
      <w:r w:rsidRPr="00EF0EED">
        <w:rPr>
          <w:rFonts w:ascii="Arial" w:hAnsi="Arial" w:cs="Arial"/>
          <w:sz w:val="24"/>
          <w:szCs w:val="24"/>
        </w:rPr>
        <w:t>rectores de UABC y miembros de Consejo Directivo del CESU, ingeniero Luis López Moctezuma Torres, doctor Gabriel</w:t>
      </w:r>
      <w:r>
        <w:rPr>
          <w:rFonts w:ascii="Arial" w:hAnsi="Arial" w:cs="Arial"/>
          <w:sz w:val="24"/>
          <w:szCs w:val="24"/>
        </w:rPr>
        <w:t xml:space="preserve"> Estrella Valenzuela, maestro Ví</w:t>
      </w:r>
      <w:r w:rsidRPr="00EF0EED">
        <w:rPr>
          <w:rFonts w:ascii="Arial" w:hAnsi="Arial" w:cs="Arial"/>
          <w:sz w:val="24"/>
          <w:szCs w:val="24"/>
        </w:rPr>
        <w:t>ctor Everardo Beltr</w:t>
      </w:r>
      <w:r>
        <w:rPr>
          <w:rFonts w:ascii="Arial" w:hAnsi="Arial" w:cs="Arial"/>
          <w:sz w:val="24"/>
          <w:szCs w:val="24"/>
        </w:rPr>
        <w:t>án Corona y el arquitecto Cesar Rubén Castro Bojó</w:t>
      </w:r>
      <w:r w:rsidRPr="00EF0EED">
        <w:rPr>
          <w:rFonts w:ascii="Arial" w:hAnsi="Arial" w:cs="Arial"/>
          <w:sz w:val="24"/>
          <w:szCs w:val="24"/>
        </w:rPr>
        <w:t xml:space="preserve">rquez. </w:t>
      </w:r>
      <w:r>
        <w:rPr>
          <w:rFonts w:ascii="Arial" w:hAnsi="Arial" w:cs="Arial"/>
          <w:sz w:val="24"/>
          <w:szCs w:val="24"/>
        </w:rPr>
        <w:t>También asistió</w:t>
      </w:r>
      <w:r w:rsidRPr="00EF0EED">
        <w:rPr>
          <w:rFonts w:ascii="Arial" w:hAnsi="Arial" w:cs="Arial"/>
          <w:sz w:val="24"/>
          <w:szCs w:val="24"/>
        </w:rPr>
        <w:t xml:space="preserve"> el presidente del Tribunal Universitaria de UABC, licenciado Francisco Javier Pereda Ayala.</w:t>
      </w:r>
    </w:p>
    <w:p w:rsidR="00EF0EED" w:rsidRPr="00EF0EED" w:rsidRDefault="00EF0EED" w:rsidP="00EF0EED">
      <w:pPr>
        <w:jc w:val="both"/>
        <w:rPr>
          <w:rFonts w:ascii="Arial" w:hAnsi="Arial" w:cs="Arial"/>
          <w:sz w:val="24"/>
          <w:szCs w:val="24"/>
        </w:rPr>
      </w:pPr>
      <w:r w:rsidRPr="00EF0EED">
        <w:rPr>
          <w:rFonts w:ascii="Arial" w:hAnsi="Arial" w:cs="Arial"/>
          <w:sz w:val="24"/>
          <w:szCs w:val="24"/>
        </w:rPr>
        <w:t xml:space="preserve"> </w:t>
      </w: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p>
    <w:p w:rsidR="00EF0EED" w:rsidRPr="00EF0EED" w:rsidRDefault="00EF0EED" w:rsidP="00EF0EED">
      <w:pPr>
        <w:jc w:val="both"/>
        <w:rPr>
          <w:rFonts w:ascii="Arial" w:hAnsi="Arial" w:cs="Arial"/>
          <w:sz w:val="24"/>
          <w:szCs w:val="24"/>
        </w:rPr>
      </w:pPr>
    </w:p>
    <w:p w:rsidR="004D6BCB" w:rsidRPr="00EF0EED" w:rsidRDefault="004D6BCB" w:rsidP="00EF0EED">
      <w:pPr>
        <w:jc w:val="both"/>
        <w:rPr>
          <w:rFonts w:ascii="Arial" w:hAnsi="Arial" w:cs="Arial"/>
          <w:b/>
          <w:bCs/>
          <w:sz w:val="24"/>
          <w:szCs w:val="24"/>
        </w:rPr>
      </w:pPr>
    </w:p>
    <w:sectPr w:rsidR="004D6BCB" w:rsidRPr="00EF0EED" w:rsidSect="00D11B59">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9676010"/>
    <w:multiLevelType w:val="hybridMultilevel"/>
    <w:tmpl w:val="46463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83C5B53"/>
    <w:multiLevelType w:val="hybridMultilevel"/>
    <w:tmpl w:val="84321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C371171"/>
    <w:multiLevelType w:val="hybridMultilevel"/>
    <w:tmpl w:val="A3161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7"/>
  </w:num>
  <w:num w:numId="4">
    <w:abstractNumId w:val="6"/>
  </w:num>
  <w:num w:numId="5">
    <w:abstractNumId w:val="23"/>
  </w:num>
  <w:num w:numId="6">
    <w:abstractNumId w:val="29"/>
  </w:num>
  <w:num w:numId="7">
    <w:abstractNumId w:val="4"/>
  </w:num>
  <w:num w:numId="8">
    <w:abstractNumId w:val="8"/>
  </w:num>
  <w:num w:numId="9">
    <w:abstractNumId w:val="24"/>
  </w:num>
  <w:num w:numId="10">
    <w:abstractNumId w:val="32"/>
  </w:num>
  <w:num w:numId="11">
    <w:abstractNumId w:val="16"/>
  </w:num>
  <w:num w:numId="12">
    <w:abstractNumId w:val="2"/>
  </w:num>
  <w:num w:numId="13">
    <w:abstractNumId w:val="15"/>
  </w:num>
  <w:num w:numId="14">
    <w:abstractNumId w:val="34"/>
  </w:num>
  <w:num w:numId="15">
    <w:abstractNumId w:val="31"/>
  </w:num>
  <w:num w:numId="16">
    <w:abstractNumId w:val="9"/>
  </w:num>
  <w:num w:numId="17">
    <w:abstractNumId w:val="20"/>
  </w:num>
  <w:num w:numId="18">
    <w:abstractNumId w:val="27"/>
  </w:num>
  <w:num w:numId="19">
    <w:abstractNumId w:val="30"/>
  </w:num>
  <w:num w:numId="20">
    <w:abstractNumId w:val="35"/>
  </w:num>
  <w:num w:numId="21">
    <w:abstractNumId w:val="5"/>
  </w:num>
  <w:num w:numId="22">
    <w:abstractNumId w:val="38"/>
  </w:num>
  <w:num w:numId="23">
    <w:abstractNumId w:val="12"/>
  </w:num>
  <w:num w:numId="24">
    <w:abstractNumId w:val="36"/>
  </w:num>
  <w:num w:numId="25">
    <w:abstractNumId w:val="28"/>
  </w:num>
  <w:num w:numId="26">
    <w:abstractNumId w:val="25"/>
  </w:num>
  <w:num w:numId="27">
    <w:abstractNumId w:val="22"/>
  </w:num>
  <w:num w:numId="28">
    <w:abstractNumId w:val="21"/>
  </w:num>
  <w:num w:numId="29">
    <w:abstractNumId w:val="3"/>
  </w:num>
  <w:num w:numId="30">
    <w:abstractNumId w:val="7"/>
  </w:num>
  <w:num w:numId="31">
    <w:abstractNumId w:val="40"/>
  </w:num>
  <w:num w:numId="32">
    <w:abstractNumId w:val="14"/>
  </w:num>
  <w:num w:numId="33">
    <w:abstractNumId w:val="18"/>
  </w:num>
  <w:num w:numId="34">
    <w:abstractNumId w:val="1"/>
  </w:num>
  <w:num w:numId="35">
    <w:abstractNumId w:val="19"/>
  </w:num>
  <w:num w:numId="36">
    <w:abstractNumId w:val="10"/>
  </w:num>
  <w:num w:numId="37">
    <w:abstractNumId w:val="11"/>
  </w:num>
  <w:num w:numId="38">
    <w:abstractNumId w:val="33"/>
  </w:num>
  <w:num w:numId="39">
    <w:abstractNumId w:val="39"/>
  </w:num>
  <w:num w:numId="40">
    <w:abstractNumId w:val="13"/>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1DC0"/>
    <w:rsid w:val="0005446F"/>
    <w:rsid w:val="00056121"/>
    <w:rsid w:val="00056D26"/>
    <w:rsid w:val="0006311A"/>
    <w:rsid w:val="000703D4"/>
    <w:rsid w:val="00071BBF"/>
    <w:rsid w:val="0007302F"/>
    <w:rsid w:val="00073FA1"/>
    <w:rsid w:val="00077E99"/>
    <w:rsid w:val="00080722"/>
    <w:rsid w:val="00082170"/>
    <w:rsid w:val="00084B73"/>
    <w:rsid w:val="00086579"/>
    <w:rsid w:val="00087AC1"/>
    <w:rsid w:val="00092554"/>
    <w:rsid w:val="0009395F"/>
    <w:rsid w:val="00095BB2"/>
    <w:rsid w:val="000A0870"/>
    <w:rsid w:val="000A2BF4"/>
    <w:rsid w:val="000A4C0E"/>
    <w:rsid w:val="000A505E"/>
    <w:rsid w:val="000A51C1"/>
    <w:rsid w:val="000B2891"/>
    <w:rsid w:val="000B318B"/>
    <w:rsid w:val="000B3EF7"/>
    <w:rsid w:val="000B5B3B"/>
    <w:rsid w:val="000C1229"/>
    <w:rsid w:val="000C1998"/>
    <w:rsid w:val="000C25F4"/>
    <w:rsid w:val="000C28B2"/>
    <w:rsid w:val="000C3E22"/>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10698"/>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3735"/>
    <w:rsid w:val="001B737A"/>
    <w:rsid w:val="001B7D20"/>
    <w:rsid w:val="001C0AC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200AFF"/>
    <w:rsid w:val="00201513"/>
    <w:rsid w:val="00202056"/>
    <w:rsid w:val="00203359"/>
    <w:rsid w:val="00204818"/>
    <w:rsid w:val="0020563B"/>
    <w:rsid w:val="00205841"/>
    <w:rsid w:val="002075F7"/>
    <w:rsid w:val="00211392"/>
    <w:rsid w:val="00217106"/>
    <w:rsid w:val="00220A72"/>
    <w:rsid w:val="0022120C"/>
    <w:rsid w:val="002226D6"/>
    <w:rsid w:val="00224344"/>
    <w:rsid w:val="00226890"/>
    <w:rsid w:val="00235A1E"/>
    <w:rsid w:val="002373A3"/>
    <w:rsid w:val="00242CB8"/>
    <w:rsid w:val="00244DED"/>
    <w:rsid w:val="00257487"/>
    <w:rsid w:val="0026211F"/>
    <w:rsid w:val="00266333"/>
    <w:rsid w:val="00270044"/>
    <w:rsid w:val="00271E15"/>
    <w:rsid w:val="00271FD7"/>
    <w:rsid w:val="00273F56"/>
    <w:rsid w:val="00275537"/>
    <w:rsid w:val="002775A8"/>
    <w:rsid w:val="00280549"/>
    <w:rsid w:val="0028228C"/>
    <w:rsid w:val="002905D6"/>
    <w:rsid w:val="002909AF"/>
    <w:rsid w:val="00294F9E"/>
    <w:rsid w:val="002A6593"/>
    <w:rsid w:val="002B1350"/>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4CB6"/>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20354"/>
    <w:rsid w:val="00325D02"/>
    <w:rsid w:val="00332965"/>
    <w:rsid w:val="00333189"/>
    <w:rsid w:val="0033392E"/>
    <w:rsid w:val="003357AC"/>
    <w:rsid w:val="00336B3C"/>
    <w:rsid w:val="003431B4"/>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F04A7"/>
    <w:rsid w:val="003F1AE7"/>
    <w:rsid w:val="003F1B43"/>
    <w:rsid w:val="003F2A66"/>
    <w:rsid w:val="003F3AA2"/>
    <w:rsid w:val="003F5665"/>
    <w:rsid w:val="0040035C"/>
    <w:rsid w:val="00400F28"/>
    <w:rsid w:val="00407BF6"/>
    <w:rsid w:val="004144DD"/>
    <w:rsid w:val="00414B07"/>
    <w:rsid w:val="004208EE"/>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2FD"/>
    <w:rsid w:val="0045430E"/>
    <w:rsid w:val="00454E31"/>
    <w:rsid w:val="0046536B"/>
    <w:rsid w:val="0046586D"/>
    <w:rsid w:val="004664C1"/>
    <w:rsid w:val="00467309"/>
    <w:rsid w:val="00471746"/>
    <w:rsid w:val="0047340F"/>
    <w:rsid w:val="00476013"/>
    <w:rsid w:val="0047793B"/>
    <w:rsid w:val="00480AF3"/>
    <w:rsid w:val="00480DA5"/>
    <w:rsid w:val="00485122"/>
    <w:rsid w:val="0049221F"/>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73A33"/>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22C7"/>
    <w:rsid w:val="005C44B5"/>
    <w:rsid w:val="005C490F"/>
    <w:rsid w:val="005C6B55"/>
    <w:rsid w:val="005C7DE0"/>
    <w:rsid w:val="005D11BF"/>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0732"/>
    <w:rsid w:val="00652F62"/>
    <w:rsid w:val="00655DE9"/>
    <w:rsid w:val="00661965"/>
    <w:rsid w:val="006641AC"/>
    <w:rsid w:val="00665B7D"/>
    <w:rsid w:val="00666A23"/>
    <w:rsid w:val="00672D85"/>
    <w:rsid w:val="006740C5"/>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25E"/>
    <w:rsid w:val="006A76F1"/>
    <w:rsid w:val="006B2994"/>
    <w:rsid w:val="006C0191"/>
    <w:rsid w:val="006C1821"/>
    <w:rsid w:val="006C2BD5"/>
    <w:rsid w:val="006C5942"/>
    <w:rsid w:val="006C5A35"/>
    <w:rsid w:val="006C6977"/>
    <w:rsid w:val="006D0557"/>
    <w:rsid w:val="006D14EF"/>
    <w:rsid w:val="006D4337"/>
    <w:rsid w:val="006D6329"/>
    <w:rsid w:val="006E56CE"/>
    <w:rsid w:val="006E684C"/>
    <w:rsid w:val="006F41A1"/>
    <w:rsid w:val="007014A4"/>
    <w:rsid w:val="00702908"/>
    <w:rsid w:val="007041F9"/>
    <w:rsid w:val="00705D09"/>
    <w:rsid w:val="007073B0"/>
    <w:rsid w:val="00711322"/>
    <w:rsid w:val="00711821"/>
    <w:rsid w:val="00712166"/>
    <w:rsid w:val="00712896"/>
    <w:rsid w:val="007166A3"/>
    <w:rsid w:val="007237D5"/>
    <w:rsid w:val="00723A6F"/>
    <w:rsid w:val="007304EC"/>
    <w:rsid w:val="00734F32"/>
    <w:rsid w:val="00735EE5"/>
    <w:rsid w:val="007426EB"/>
    <w:rsid w:val="007428E2"/>
    <w:rsid w:val="0074387D"/>
    <w:rsid w:val="00744E30"/>
    <w:rsid w:val="00745349"/>
    <w:rsid w:val="00750C24"/>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BCD"/>
    <w:rsid w:val="007F12D5"/>
    <w:rsid w:val="007F1F8E"/>
    <w:rsid w:val="007F3145"/>
    <w:rsid w:val="00803987"/>
    <w:rsid w:val="008134DB"/>
    <w:rsid w:val="00813F5F"/>
    <w:rsid w:val="008149DE"/>
    <w:rsid w:val="00814B64"/>
    <w:rsid w:val="008175BA"/>
    <w:rsid w:val="0082326F"/>
    <w:rsid w:val="008316AE"/>
    <w:rsid w:val="0083241D"/>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63E27"/>
    <w:rsid w:val="00971AD6"/>
    <w:rsid w:val="00972AD4"/>
    <w:rsid w:val="00974FD5"/>
    <w:rsid w:val="00975110"/>
    <w:rsid w:val="00985793"/>
    <w:rsid w:val="00987594"/>
    <w:rsid w:val="00997480"/>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78B9"/>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27E4E"/>
    <w:rsid w:val="00A331C7"/>
    <w:rsid w:val="00A37841"/>
    <w:rsid w:val="00A401E6"/>
    <w:rsid w:val="00A41015"/>
    <w:rsid w:val="00A4337F"/>
    <w:rsid w:val="00A4491C"/>
    <w:rsid w:val="00A53D24"/>
    <w:rsid w:val="00A615D0"/>
    <w:rsid w:val="00A64B1B"/>
    <w:rsid w:val="00A64E93"/>
    <w:rsid w:val="00A76CAE"/>
    <w:rsid w:val="00A87838"/>
    <w:rsid w:val="00A90038"/>
    <w:rsid w:val="00A962D7"/>
    <w:rsid w:val="00AA0481"/>
    <w:rsid w:val="00AA3980"/>
    <w:rsid w:val="00AA50AB"/>
    <w:rsid w:val="00AA5A09"/>
    <w:rsid w:val="00AA7FF3"/>
    <w:rsid w:val="00AB0035"/>
    <w:rsid w:val="00AB03E3"/>
    <w:rsid w:val="00AB52BE"/>
    <w:rsid w:val="00AB6E1D"/>
    <w:rsid w:val="00AB790B"/>
    <w:rsid w:val="00AC1A31"/>
    <w:rsid w:val="00AC763C"/>
    <w:rsid w:val="00AD7FE0"/>
    <w:rsid w:val="00AE1121"/>
    <w:rsid w:val="00AE6D41"/>
    <w:rsid w:val="00AE7AE1"/>
    <w:rsid w:val="00AF246E"/>
    <w:rsid w:val="00AF3F73"/>
    <w:rsid w:val="00AF5013"/>
    <w:rsid w:val="00AF6485"/>
    <w:rsid w:val="00B01837"/>
    <w:rsid w:val="00B0267A"/>
    <w:rsid w:val="00B0285E"/>
    <w:rsid w:val="00B064CD"/>
    <w:rsid w:val="00B07022"/>
    <w:rsid w:val="00B07EBE"/>
    <w:rsid w:val="00B1060C"/>
    <w:rsid w:val="00B12358"/>
    <w:rsid w:val="00B14A52"/>
    <w:rsid w:val="00B14CF4"/>
    <w:rsid w:val="00B1668F"/>
    <w:rsid w:val="00B17774"/>
    <w:rsid w:val="00B251E7"/>
    <w:rsid w:val="00B27CE6"/>
    <w:rsid w:val="00B30DD5"/>
    <w:rsid w:val="00B30F64"/>
    <w:rsid w:val="00B3579C"/>
    <w:rsid w:val="00B42F39"/>
    <w:rsid w:val="00B45F3C"/>
    <w:rsid w:val="00B549BD"/>
    <w:rsid w:val="00B56754"/>
    <w:rsid w:val="00B56C4A"/>
    <w:rsid w:val="00B6002E"/>
    <w:rsid w:val="00B67930"/>
    <w:rsid w:val="00B775F0"/>
    <w:rsid w:val="00B8346C"/>
    <w:rsid w:val="00B83EA1"/>
    <w:rsid w:val="00B858BC"/>
    <w:rsid w:val="00B8596C"/>
    <w:rsid w:val="00B8626A"/>
    <w:rsid w:val="00B93C2A"/>
    <w:rsid w:val="00BA2036"/>
    <w:rsid w:val="00BA3448"/>
    <w:rsid w:val="00BA3562"/>
    <w:rsid w:val="00BA4429"/>
    <w:rsid w:val="00BA59D8"/>
    <w:rsid w:val="00BB0DAB"/>
    <w:rsid w:val="00BB1C79"/>
    <w:rsid w:val="00BB271B"/>
    <w:rsid w:val="00BB282C"/>
    <w:rsid w:val="00BB50D2"/>
    <w:rsid w:val="00BB5172"/>
    <w:rsid w:val="00BB5339"/>
    <w:rsid w:val="00BC3F1B"/>
    <w:rsid w:val="00BC4620"/>
    <w:rsid w:val="00BC4B73"/>
    <w:rsid w:val="00BC4DE6"/>
    <w:rsid w:val="00BC5D94"/>
    <w:rsid w:val="00BC61C7"/>
    <w:rsid w:val="00BC6C5C"/>
    <w:rsid w:val="00BC7189"/>
    <w:rsid w:val="00BC7B29"/>
    <w:rsid w:val="00BD391F"/>
    <w:rsid w:val="00BD6283"/>
    <w:rsid w:val="00BD7940"/>
    <w:rsid w:val="00BD7A27"/>
    <w:rsid w:val="00BE2A14"/>
    <w:rsid w:val="00BE6D66"/>
    <w:rsid w:val="00BF0187"/>
    <w:rsid w:val="00BF485A"/>
    <w:rsid w:val="00BF59BB"/>
    <w:rsid w:val="00BF5B0C"/>
    <w:rsid w:val="00C02ED9"/>
    <w:rsid w:val="00C06045"/>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B3236"/>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CF5A5F"/>
    <w:rsid w:val="00D017C4"/>
    <w:rsid w:val="00D0248F"/>
    <w:rsid w:val="00D02A61"/>
    <w:rsid w:val="00D043E3"/>
    <w:rsid w:val="00D06072"/>
    <w:rsid w:val="00D06D55"/>
    <w:rsid w:val="00D10A1D"/>
    <w:rsid w:val="00D10BCD"/>
    <w:rsid w:val="00D11B59"/>
    <w:rsid w:val="00D137C6"/>
    <w:rsid w:val="00D13E20"/>
    <w:rsid w:val="00D15F4F"/>
    <w:rsid w:val="00D21A47"/>
    <w:rsid w:val="00D23782"/>
    <w:rsid w:val="00D24319"/>
    <w:rsid w:val="00D25B80"/>
    <w:rsid w:val="00D26B05"/>
    <w:rsid w:val="00D27282"/>
    <w:rsid w:val="00D302B8"/>
    <w:rsid w:val="00D34675"/>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347B"/>
    <w:rsid w:val="00D95AE4"/>
    <w:rsid w:val="00D9716B"/>
    <w:rsid w:val="00D9724A"/>
    <w:rsid w:val="00DA05AA"/>
    <w:rsid w:val="00DA0C85"/>
    <w:rsid w:val="00DA1738"/>
    <w:rsid w:val="00DA2DB7"/>
    <w:rsid w:val="00DB43F7"/>
    <w:rsid w:val="00DB5450"/>
    <w:rsid w:val="00DB7A38"/>
    <w:rsid w:val="00DC0428"/>
    <w:rsid w:val="00DC0E19"/>
    <w:rsid w:val="00DC1666"/>
    <w:rsid w:val="00DC3664"/>
    <w:rsid w:val="00DC6A91"/>
    <w:rsid w:val="00DD0AE7"/>
    <w:rsid w:val="00DD72B4"/>
    <w:rsid w:val="00DD7469"/>
    <w:rsid w:val="00DE1340"/>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2A2E"/>
    <w:rsid w:val="00E37B64"/>
    <w:rsid w:val="00E422B2"/>
    <w:rsid w:val="00E444DF"/>
    <w:rsid w:val="00E46469"/>
    <w:rsid w:val="00E47BFF"/>
    <w:rsid w:val="00E50B09"/>
    <w:rsid w:val="00E50D50"/>
    <w:rsid w:val="00E51DB9"/>
    <w:rsid w:val="00E559D6"/>
    <w:rsid w:val="00E55C42"/>
    <w:rsid w:val="00E56E9A"/>
    <w:rsid w:val="00E6017E"/>
    <w:rsid w:val="00E61AF5"/>
    <w:rsid w:val="00E639C4"/>
    <w:rsid w:val="00E70E55"/>
    <w:rsid w:val="00E70EDE"/>
    <w:rsid w:val="00E757BC"/>
    <w:rsid w:val="00E80B96"/>
    <w:rsid w:val="00E8581D"/>
    <w:rsid w:val="00E866AF"/>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E4"/>
    <w:rsid w:val="00EF0EED"/>
    <w:rsid w:val="00EF3379"/>
    <w:rsid w:val="00EF4C6C"/>
    <w:rsid w:val="00EF600F"/>
    <w:rsid w:val="00EF7BB1"/>
    <w:rsid w:val="00F063E5"/>
    <w:rsid w:val="00F128F3"/>
    <w:rsid w:val="00F172FE"/>
    <w:rsid w:val="00F17494"/>
    <w:rsid w:val="00F21A12"/>
    <w:rsid w:val="00F23F14"/>
    <w:rsid w:val="00F24C03"/>
    <w:rsid w:val="00F253F4"/>
    <w:rsid w:val="00F33204"/>
    <w:rsid w:val="00F34BAD"/>
    <w:rsid w:val="00F35208"/>
    <w:rsid w:val="00F353B8"/>
    <w:rsid w:val="00F36ADB"/>
    <w:rsid w:val="00F379DF"/>
    <w:rsid w:val="00F40404"/>
    <w:rsid w:val="00F411B0"/>
    <w:rsid w:val="00F45D43"/>
    <w:rsid w:val="00F4779C"/>
    <w:rsid w:val="00F5207E"/>
    <w:rsid w:val="00F524F1"/>
    <w:rsid w:val="00F56BF7"/>
    <w:rsid w:val="00F57F95"/>
    <w:rsid w:val="00F610D6"/>
    <w:rsid w:val="00F64F95"/>
    <w:rsid w:val="00F660E7"/>
    <w:rsid w:val="00F71B2A"/>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58D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4C3D62EC-5790-4BAD-82DC-90988C3F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E8D61-2442-46F6-B982-C0BF0FEC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620</Words>
  <Characters>3412</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7</cp:revision>
  <cp:lastPrinted>2013-10-29T21:34:00Z</cp:lastPrinted>
  <dcterms:created xsi:type="dcterms:W3CDTF">2013-10-30T05:22:00Z</dcterms:created>
  <dcterms:modified xsi:type="dcterms:W3CDTF">2013-10-31T00:22:00Z</dcterms:modified>
</cp:coreProperties>
</file>