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2EA4B26D" wp14:editId="7F5DD0D1">
            <wp:simplePos x="0" y="0"/>
            <wp:positionH relativeFrom="column">
              <wp:posOffset>-502285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E66F85">
        <w:rPr>
          <w:rFonts w:ascii="Arial" w:hAnsi="Arial" w:cs="Arial"/>
          <w:b/>
          <w:sz w:val="24"/>
          <w:szCs w:val="24"/>
        </w:rPr>
        <w:t>23</w:t>
      </w:r>
      <w:r w:rsidR="00C87AD8">
        <w:rPr>
          <w:rFonts w:ascii="Arial" w:hAnsi="Arial" w:cs="Arial"/>
          <w:b/>
          <w:sz w:val="24"/>
          <w:szCs w:val="24"/>
        </w:rPr>
        <w:t>/2019-1</w:t>
      </w:r>
    </w:p>
    <w:p w:rsidR="008047EF" w:rsidRPr="008047EF" w:rsidRDefault="008047EF" w:rsidP="000802A1">
      <w:pPr>
        <w:pStyle w:val="Sinespaciado"/>
        <w:jc w:val="center"/>
        <w:rPr>
          <w:rFonts w:ascii="Arial" w:hAnsi="Arial" w:cs="Arial"/>
          <w:b/>
          <w:sz w:val="16"/>
          <w:szCs w:val="16"/>
          <w:lang w:eastAsia="es-MX"/>
        </w:rPr>
      </w:pPr>
    </w:p>
    <w:p w:rsidR="000802A1" w:rsidRPr="008047EF" w:rsidRDefault="000802A1" w:rsidP="000802A1">
      <w:pPr>
        <w:pStyle w:val="Sinespaciado"/>
        <w:jc w:val="center"/>
        <w:rPr>
          <w:rFonts w:ascii="Arial" w:hAnsi="Arial" w:cs="Arial"/>
          <w:b/>
          <w:sz w:val="24"/>
          <w:szCs w:val="24"/>
          <w:lang w:eastAsia="es-MX"/>
        </w:rPr>
      </w:pPr>
      <w:r w:rsidRPr="008047EF">
        <w:rPr>
          <w:rFonts w:ascii="Arial" w:hAnsi="Arial" w:cs="Arial"/>
          <w:b/>
          <w:sz w:val="36"/>
          <w:szCs w:val="24"/>
          <w:lang w:eastAsia="es-MX"/>
        </w:rPr>
        <w:t xml:space="preserve">Aprueba Consejo Universitario Estados Financieros </w:t>
      </w:r>
      <w:r w:rsidR="00275B9B">
        <w:rPr>
          <w:rFonts w:ascii="Arial" w:hAnsi="Arial" w:cs="Arial"/>
          <w:b/>
          <w:sz w:val="36"/>
          <w:szCs w:val="24"/>
          <w:lang w:eastAsia="es-MX"/>
        </w:rPr>
        <w:t>de UABC</w:t>
      </w:r>
    </w:p>
    <w:p w:rsidR="000802A1" w:rsidRPr="008047EF" w:rsidRDefault="000802A1" w:rsidP="000802A1">
      <w:pPr>
        <w:pStyle w:val="Sinespaciado"/>
        <w:jc w:val="center"/>
        <w:rPr>
          <w:rFonts w:ascii="Arial" w:hAnsi="Arial" w:cs="Arial"/>
          <w:b/>
          <w:sz w:val="12"/>
          <w:szCs w:val="12"/>
          <w:lang w:eastAsia="es-MX"/>
        </w:rPr>
      </w:pPr>
    </w:p>
    <w:p w:rsidR="000802A1" w:rsidRPr="008047EF" w:rsidRDefault="000802A1" w:rsidP="000802A1">
      <w:pPr>
        <w:pStyle w:val="Sinespaciado"/>
        <w:numPr>
          <w:ilvl w:val="0"/>
          <w:numId w:val="23"/>
        </w:numPr>
        <w:suppressAutoHyphens w:val="0"/>
        <w:ind w:left="284" w:hanging="284"/>
        <w:textAlignment w:val="auto"/>
        <w:rPr>
          <w:rFonts w:ascii="Arial" w:hAnsi="Arial" w:cs="Arial"/>
          <w:sz w:val="24"/>
          <w:szCs w:val="24"/>
          <w:lang w:eastAsia="es-MX"/>
        </w:rPr>
      </w:pPr>
      <w:r w:rsidRPr="008047EF">
        <w:rPr>
          <w:rFonts w:ascii="Arial" w:hAnsi="Arial" w:cs="Arial"/>
          <w:sz w:val="24"/>
          <w:szCs w:val="24"/>
          <w:lang w:eastAsia="es-MX"/>
        </w:rPr>
        <w:t xml:space="preserve">Correspondientes </w:t>
      </w:r>
      <w:r w:rsidRPr="008047EF">
        <w:rPr>
          <w:rFonts w:ascii="Arial" w:hAnsi="Arial" w:cs="Arial"/>
          <w:sz w:val="24"/>
          <w:szCs w:val="24"/>
        </w:rPr>
        <w:t>al ejercicio fiscal del 2018.</w:t>
      </w:r>
    </w:p>
    <w:p w:rsidR="000802A1" w:rsidRPr="008047EF" w:rsidRDefault="000802A1" w:rsidP="000802A1">
      <w:pPr>
        <w:pStyle w:val="Sinespaciado"/>
        <w:ind w:left="284"/>
        <w:rPr>
          <w:rFonts w:ascii="Arial" w:hAnsi="Arial" w:cs="Arial"/>
          <w:sz w:val="16"/>
          <w:szCs w:val="16"/>
          <w:lang w:eastAsia="es-MX"/>
        </w:rPr>
      </w:pPr>
    </w:p>
    <w:p w:rsidR="000802A1" w:rsidRPr="008047EF" w:rsidRDefault="000802A1" w:rsidP="000802A1">
      <w:pPr>
        <w:jc w:val="both"/>
        <w:rPr>
          <w:rFonts w:ascii="Arial" w:hAnsi="Arial" w:cs="Arial"/>
          <w:sz w:val="24"/>
          <w:szCs w:val="24"/>
        </w:rPr>
      </w:pPr>
      <w:r w:rsidRPr="008047EF">
        <w:rPr>
          <w:rFonts w:ascii="Arial" w:hAnsi="Arial" w:cs="Arial"/>
          <w:b/>
          <w:sz w:val="24"/>
          <w:szCs w:val="24"/>
        </w:rPr>
        <w:t>Mexicali, B.C., viernes 22 de febrero de 2019.-</w:t>
      </w:r>
      <w:r w:rsidRPr="008047EF">
        <w:rPr>
          <w:rFonts w:ascii="Arial" w:hAnsi="Arial" w:cs="Arial"/>
          <w:sz w:val="24"/>
          <w:szCs w:val="24"/>
        </w:rPr>
        <w:t xml:space="preserve"> El Consejo Universitario de la Universidad Autónoma de Baja California (UABC), aprobó por unanimidad los Estados Financieros correspondientes al ejercicio fiscal del primero de enero al 31 de diciembre de 2018, presentados mediante la Comisión Permanente de Presupuestos, los cuales fueron dictaminados por el contador público independiente Luis Miguel Cano </w:t>
      </w:r>
      <w:proofErr w:type="spellStart"/>
      <w:r w:rsidRPr="008047EF">
        <w:rPr>
          <w:rFonts w:ascii="Arial" w:hAnsi="Arial" w:cs="Arial"/>
          <w:sz w:val="24"/>
          <w:szCs w:val="24"/>
        </w:rPr>
        <w:t>Falomir</w:t>
      </w:r>
      <w:proofErr w:type="spellEnd"/>
      <w:r w:rsidRPr="008047EF">
        <w:rPr>
          <w:rFonts w:ascii="Arial" w:hAnsi="Arial" w:cs="Arial"/>
          <w:sz w:val="24"/>
          <w:szCs w:val="24"/>
        </w:rPr>
        <w:t>.</w:t>
      </w:r>
    </w:p>
    <w:p w:rsidR="000802A1" w:rsidRPr="008047EF" w:rsidRDefault="000802A1" w:rsidP="000802A1">
      <w:pPr>
        <w:jc w:val="both"/>
        <w:rPr>
          <w:rFonts w:ascii="Arial" w:hAnsi="Arial" w:cs="Arial"/>
          <w:sz w:val="16"/>
          <w:szCs w:val="16"/>
        </w:rPr>
      </w:pPr>
    </w:p>
    <w:p w:rsidR="00164E23" w:rsidRPr="008047EF" w:rsidRDefault="000802A1" w:rsidP="000802A1">
      <w:pPr>
        <w:jc w:val="both"/>
        <w:rPr>
          <w:rFonts w:ascii="Arial" w:hAnsi="Arial" w:cs="Arial"/>
          <w:sz w:val="24"/>
          <w:szCs w:val="24"/>
        </w:rPr>
      </w:pPr>
      <w:r w:rsidRPr="008047EF">
        <w:rPr>
          <w:rFonts w:ascii="Arial" w:hAnsi="Arial" w:cs="Arial"/>
          <w:sz w:val="24"/>
          <w:szCs w:val="24"/>
        </w:rPr>
        <w:t>A nombre del Patronato Universitario,</w:t>
      </w:r>
      <w:r w:rsidR="008F5583" w:rsidRPr="008047EF">
        <w:rPr>
          <w:rFonts w:ascii="Arial" w:hAnsi="Arial" w:cs="Arial"/>
          <w:sz w:val="24"/>
          <w:szCs w:val="24"/>
        </w:rPr>
        <w:t xml:space="preserve"> presidido por el maestro Gustavo Adolfo De Hoyos </w:t>
      </w:r>
      <w:proofErr w:type="spellStart"/>
      <w:r w:rsidR="008F5583" w:rsidRPr="008047EF">
        <w:rPr>
          <w:rFonts w:ascii="Arial" w:hAnsi="Arial" w:cs="Arial"/>
          <w:sz w:val="24"/>
          <w:szCs w:val="24"/>
        </w:rPr>
        <w:t>Walther</w:t>
      </w:r>
      <w:proofErr w:type="spellEnd"/>
      <w:r w:rsidR="008F5583" w:rsidRPr="008047EF">
        <w:rPr>
          <w:rFonts w:ascii="Arial" w:hAnsi="Arial" w:cs="Arial"/>
          <w:sz w:val="24"/>
          <w:szCs w:val="24"/>
        </w:rPr>
        <w:t>,</w:t>
      </w:r>
      <w:r w:rsidRPr="008047EF">
        <w:rPr>
          <w:rFonts w:ascii="Arial" w:hAnsi="Arial" w:cs="Arial"/>
          <w:sz w:val="24"/>
          <w:szCs w:val="24"/>
        </w:rPr>
        <w:t xml:space="preserve"> el Tesorero de la UABC, doctor Víctor Manuel </w:t>
      </w:r>
      <w:proofErr w:type="spellStart"/>
      <w:r w:rsidRPr="008047EF">
        <w:rPr>
          <w:rFonts w:ascii="Arial" w:hAnsi="Arial" w:cs="Arial"/>
          <w:sz w:val="24"/>
          <w:szCs w:val="24"/>
        </w:rPr>
        <w:t>Alcántar</w:t>
      </w:r>
      <w:proofErr w:type="spellEnd"/>
      <w:r w:rsidRPr="008047EF">
        <w:rPr>
          <w:rFonts w:ascii="Arial" w:hAnsi="Arial" w:cs="Arial"/>
          <w:sz w:val="24"/>
          <w:szCs w:val="24"/>
        </w:rPr>
        <w:t xml:space="preserve"> Enríquez, señaló que los Ingresos fueron de 3 mil 850 millones, 824 mil pesos, mientras que los Gastos ascendieron a 4 mil 127 millones 782 mil pesos</w:t>
      </w:r>
      <w:r w:rsidR="00164E23" w:rsidRPr="008047EF">
        <w:rPr>
          <w:rFonts w:ascii="Arial" w:hAnsi="Arial" w:cs="Arial"/>
          <w:sz w:val="24"/>
          <w:szCs w:val="24"/>
        </w:rPr>
        <w:t>.</w:t>
      </w:r>
    </w:p>
    <w:p w:rsidR="00164E23" w:rsidRPr="008047EF" w:rsidRDefault="00164E23" w:rsidP="000802A1">
      <w:pPr>
        <w:jc w:val="both"/>
        <w:rPr>
          <w:rFonts w:ascii="Arial" w:hAnsi="Arial" w:cs="Arial"/>
          <w:sz w:val="16"/>
          <w:szCs w:val="16"/>
        </w:rPr>
      </w:pPr>
    </w:p>
    <w:p w:rsidR="00164E23" w:rsidRPr="008047EF" w:rsidRDefault="00164E23" w:rsidP="000802A1">
      <w:pPr>
        <w:jc w:val="both"/>
        <w:rPr>
          <w:rFonts w:ascii="Arial" w:hAnsi="Arial" w:cs="Arial"/>
          <w:sz w:val="24"/>
          <w:szCs w:val="24"/>
        </w:rPr>
      </w:pPr>
      <w:r w:rsidRPr="008047EF">
        <w:rPr>
          <w:rFonts w:ascii="Arial" w:hAnsi="Arial" w:cs="Arial"/>
          <w:sz w:val="24"/>
          <w:szCs w:val="24"/>
          <w:shd w:val="clear" w:color="auto" w:fill="FFFFFF"/>
        </w:rPr>
        <w:t>Agregó que el resultado financiero desfavorable del ejercicio, se debe a que el Gobierno del Estado de Baja California, dejó de pagar a esta Universidad 365 millones de pesos correspondiente</w:t>
      </w:r>
      <w:r w:rsidR="00FD2397">
        <w:rPr>
          <w:rFonts w:ascii="Arial" w:hAnsi="Arial" w:cs="Arial"/>
          <w:sz w:val="24"/>
          <w:szCs w:val="24"/>
          <w:shd w:val="clear" w:color="auto" w:fill="FFFFFF"/>
        </w:rPr>
        <w:t>s</w:t>
      </w:r>
      <w:r w:rsidRPr="008047EF">
        <w:rPr>
          <w:rFonts w:ascii="Arial" w:hAnsi="Arial" w:cs="Arial"/>
          <w:sz w:val="24"/>
          <w:szCs w:val="24"/>
          <w:shd w:val="clear" w:color="auto" w:fill="FFFFFF"/>
        </w:rPr>
        <w:t xml:space="preserve"> a siete catorcenas de los meses de octubre, noviembre y diciembre del 2018, habiéndose visto obligada la UABC, a hacer uso temporal de fondos de contingencia para evitar cualquier interrupción de sus funciones sustantivas.</w:t>
      </w:r>
    </w:p>
    <w:p w:rsidR="000802A1" w:rsidRPr="008047EF" w:rsidRDefault="000802A1" w:rsidP="000802A1">
      <w:pPr>
        <w:jc w:val="both"/>
        <w:rPr>
          <w:rFonts w:ascii="Arial" w:hAnsi="Arial" w:cs="Arial"/>
          <w:sz w:val="16"/>
          <w:szCs w:val="16"/>
        </w:rPr>
      </w:pPr>
    </w:p>
    <w:p w:rsidR="000802A1" w:rsidRDefault="000802A1" w:rsidP="000802A1">
      <w:pPr>
        <w:jc w:val="both"/>
        <w:rPr>
          <w:rFonts w:ascii="Arial" w:hAnsi="Arial" w:cs="Arial"/>
          <w:sz w:val="24"/>
          <w:szCs w:val="24"/>
        </w:rPr>
      </w:pPr>
      <w:r w:rsidRPr="008047EF">
        <w:rPr>
          <w:rFonts w:ascii="Arial" w:hAnsi="Arial" w:cs="Arial"/>
          <w:sz w:val="24"/>
          <w:szCs w:val="24"/>
        </w:rPr>
        <w:t xml:space="preserve">En lo que se refiere a egresos en 2018, </w:t>
      </w:r>
      <w:r w:rsidR="00164E23" w:rsidRPr="008047EF">
        <w:rPr>
          <w:rFonts w:ascii="Arial" w:hAnsi="Arial" w:cs="Arial"/>
          <w:sz w:val="24"/>
          <w:szCs w:val="24"/>
        </w:rPr>
        <w:t xml:space="preserve">el Tesorero mencionó que </w:t>
      </w:r>
      <w:r w:rsidR="00186535" w:rsidRPr="008047EF">
        <w:rPr>
          <w:rFonts w:ascii="Arial" w:hAnsi="Arial" w:cs="Arial"/>
          <w:sz w:val="24"/>
          <w:szCs w:val="24"/>
        </w:rPr>
        <w:t xml:space="preserve">la mayor inversión </w:t>
      </w:r>
      <w:r w:rsidRPr="008047EF">
        <w:rPr>
          <w:rFonts w:ascii="Arial" w:hAnsi="Arial" w:cs="Arial"/>
          <w:sz w:val="24"/>
          <w:szCs w:val="24"/>
        </w:rPr>
        <w:t xml:space="preserve">se </w:t>
      </w:r>
      <w:r w:rsidR="00164E23" w:rsidRPr="008047EF">
        <w:rPr>
          <w:rFonts w:ascii="Arial" w:hAnsi="Arial" w:cs="Arial"/>
          <w:sz w:val="24"/>
          <w:szCs w:val="24"/>
        </w:rPr>
        <w:t>destinó</w:t>
      </w:r>
      <w:r w:rsidRPr="008047EF">
        <w:rPr>
          <w:rFonts w:ascii="Arial" w:hAnsi="Arial" w:cs="Arial"/>
          <w:sz w:val="24"/>
          <w:szCs w:val="24"/>
        </w:rPr>
        <w:t xml:space="preserve"> </w:t>
      </w:r>
      <w:r w:rsidR="00186535" w:rsidRPr="008047EF">
        <w:rPr>
          <w:rFonts w:ascii="Arial" w:hAnsi="Arial" w:cs="Arial"/>
          <w:sz w:val="24"/>
          <w:szCs w:val="24"/>
        </w:rPr>
        <w:t xml:space="preserve">al apoyo a la docencia con </w:t>
      </w:r>
      <w:r w:rsidRPr="008047EF">
        <w:rPr>
          <w:rFonts w:ascii="Arial" w:hAnsi="Arial" w:cs="Arial"/>
          <w:sz w:val="24"/>
          <w:szCs w:val="24"/>
        </w:rPr>
        <w:t>el 67.7</w:t>
      </w:r>
      <w:r w:rsidR="00186535" w:rsidRPr="008047EF">
        <w:rPr>
          <w:rFonts w:ascii="Arial" w:hAnsi="Arial" w:cs="Arial"/>
          <w:sz w:val="24"/>
          <w:szCs w:val="24"/>
        </w:rPr>
        <w:t>, mientras que para la investigación se aplicó</w:t>
      </w:r>
      <w:r w:rsidRPr="008047EF">
        <w:rPr>
          <w:rFonts w:ascii="Arial" w:hAnsi="Arial" w:cs="Arial"/>
          <w:sz w:val="24"/>
          <w:szCs w:val="24"/>
        </w:rPr>
        <w:t xml:space="preserve"> el 14.4</w:t>
      </w:r>
      <w:r w:rsidR="00186535" w:rsidRPr="008047EF">
        <w:rPr>
          <w:rFonts w:ascii="Arial" w:hAnsi="Arial" w:cs="Arial"/>
          <w:sz w:val="24"/>
          <w:szCs w:val="24"/>
        </w:rPr>
        <w:t xml:space="preserve">, para la extensión de la cultura y los servicios el 9.4, y para la administración </w:t>
      </w:r>
      <w:r w:rsidRPr="008047EF">
        <w:rPr>
          <w:rFonts w:ascii="Arial" w:hAnsi="Arial" w:cs="Arial"/>
          <w:sz w:val="24"/>
          <w:szCs w:val="24"/>
        </w:rPr>
        <w:t>el 8.5 por ciento</w:t>
      </w:r>
      <w:r w:rsidR="00186535" w:rsidRPr="008047EF">
        <w:rPr>
          <w:rFonts w:ascii="Arial" w:hAnsi="Arial" w:cs="Arial"/>
          <w:sz w:val="24"/>
          <w:szCs w:val="24"/>
        </w:rPr>
        <w:t>.</w:t>
      </w:r>
      <w:r w:rsidRPr="008047EF">
        <w:rPr>
          <w:rFonts w:ascii="Arial" w:hAnsi="Arial" w:cs="Arial"/>
          <w:sz w:val="24"/>
          <w:szCs w:val="24"/>
        </w:rPr>
        <w:t xml:space="preserve"> </w:t>
      </w:r>
    </w:p>
    <w:p w:rsidR="00FD2397" w:rsidRPr="00CA73EE" w:rsidRDefault="00FD2397" w:rsidP="003F5D32">
      <w:pPr>
        <w:jc w:val="both"/>
        <w:rPr>
          <w:rFonts w:ascii="Arial" w:hAnsi="Arial" w:cs="Arial"/>
          <w:sz w:val="16"/>
          <w:szCs w:val="16"/>
          <w:shd w:val="clear" w:color="auto" w:fill="FFFFFF"/>
        </w:rPr>
      </w:pPr>
      <w:bookmarkStart w:id="0" w:name="_GoBack"/>
    </w:p>
    <w:bookmarkEnd w:id="0"/>
    <w:p w:rsidR="003F5D32" w:rsidRPr="008047EF" w:rsidRDefault="00FD2397" w:rsidP="003F5D32">
      <w:pPr>
        <w:jc w:val="both"/>
        <w:rPr>
          <w:rFonts w:ascii="Arial" w:hAnsi="Arial" w:cs="Arial"/>
          <w:sz w:val="24"/>
          <w:szCs w:val="24"/>
          <w:shd w:val="clear" w:color="auto" w:fill="FFFFFF"/>
        </w:rPr>
      </w:pPr>
      <w:r>
        <w:rPr>
          <w:rFonts w:ascii="Arial" w:hAnsi="Arial" w:cs="Arial"/>
          <w:sz w:val="24"/>
          <w:szCs w:val="24"/>
          <w:shd w:val="clear" w:color="auto" w:fill="FFFFFF"/>
        </w:rPr>
        <w:t>I</w:t>
      </w:r>
      <w:r w:rsidR="003F5D32" w:rsidRPr="008047EF">
        <w:rPr>
          <w:rFonts w:ascii="Arial" w:hAnsi="Arial" w:cs="Arial"/>
          <w:sz w:val="24"/>
          <w:szCs w:val="24"/>
          <w:shd w:val="clear" w:color="auto" w:fill="FFFFFF"/>
        </w:rPr>
        <w:t>ndicó que es muy importante el buen uso de los recursos tanto públicos como propios, así como rendir cuentas con oportunidad y transparencia a la sociedad de Baja California y del país, por ello se ha venido auditando los diferentes ejercicios fiscales por el órgano de Fiscalización Superior del Estado acorde a la solicitud original que hizo la UABC en este sentido.</w:t>
      </w:r>
    </w:p>
    <w:p w:rsidR="003F5D32" w:rsidRPr="003F5D32" w:rsidRDefault="003F5D32" w:rsidP="000802A1">
      <w:pPr>
        <w:jc w:val="both"/>
        <w:rPr>
          <w:rFonts w:ascii="Arial" w:hAnsi="Arial" w:cs="Arial"/>
          <w:sz w:val="16"/>
          <w:szCs w:val="16"/>
        </w:rPr>
      </w:pPr>
    </w:p>
    <w:p w:rsidR="000802A1" w:rsidRPr="00F05FC8" w:rsidRDefault="003F5D32" w:rsidP="000802A1">
      <w:pPr>
        <w:jc w:val="both"/>
        <w:rPr>
          <w:rFonts w:ascii="Arial" w:hAnsi="Arial" w:cs="Arial"/>
          <w:sz w:val="24"/>
          <w:szCs w:val="24"/>
        </w:rPr>
      </w:pPr>
      <w:r>
        <w:rPr>
          <w:rFonts w:ascii="Arial" w:hAnsi="Arial" w:cs="Arial"/>
          <w:sz w:val="24"/>
          <w:szCs w:val="24"/>
        </w:rPr>
        <w:t xml:space="preserve">Una vez que finalizó la presentación de los Estados Financieros, el </w:t>
      </w:r>
      <w:r w:rsidR="000802A1" w:rsidRPr="008047EF">
        <w:rPr>
          <w:rFonts w:ascii="Arial" w:hAnsi="Arial" w:cs="Arial"/>
          <w:sz w:val="24"/>
          <w:szCs w:val="24"/>
        </w:rPr>
        <w:t xml:space="preserve">Rector de la UABC, doctor Daniel Octavio Valdez Delgadillo </w:t>
      </w:r>
      <w:r w:rsidR="00A337A5">
        <w:rPr>
          <w:rFonts w:ascii="Arial" w:hAnsi="Arial" w:cs="Arial"/>
          <w:sz w:val="24"/>
          <w:szCs w:val="24"/>
        </w:rPr>
        <w:t>expuso</w:t>
      </w:r>
      <w:r w:rsidR="00FD2397">
        <w:rPr>
          <w:rFonts w:ascii="Arial" w:hAnsi="Arial" w:cs="Arial"/>
          <w:sz w:val="24"/>
          <w:szCs w:val="24"/>
        </w:rPr>
        <w:t xml:space="preserve"> que </w:t>
      </w:r>
      <w:r w:rsidR="00A730F7" w:rsidRPr="00F05FC8">
        <w:rPr>
          <w:rFonts w:ascii="Arial" w:hAnsi="Arial" w:cs="Arial"/>
          <w:sz w:val="24"/>
          <w:szCs w:val="24"/>
        </w:rPr>
        <w:t xml:space="preserve">el contexto financiero que se vive actualmente pone en riesgo la autonomía universitaria, </w:t>
      </w:r>
      <w:r w:rsidR="00FD2397">
        <w:rPr>
          <w:rFonts w:ascii="Arial" w:hAnsi="Arial" w:cs="Arial"/>
          <w:sz w:val="24"/>
          <w:szCs w:val="24"/>
        </w:rPr>
        <w:t>en relación a</w:t>
      </w:r>
      <w:r w:rsidR="00A730F7" w:rsidRPr="00F05FC8">
        <w:rPr>
          <w:rFonts w:ascii="Arial" w:hAnsi="Arial" w:cs="Arial"/>
          <w:sz w:val="24"/>
          <w:szCs w:val="24"/>
        </w:rPr>
        <w:t xml:space="preserve"> la capacidad de decisión de </w:t>
      </w:r>
      <w:proofErr w:type="spellStart"/>
      <w:r w:rsidR="00A730F7" w:rsidRPr="00F05FC8">
        <w:rPr>
          <w:rFonts w:ascii="Arial" w:hAnsi="Arial" w:cs="Arial"/>
          <w:sz w:val="24"/>
          <w:szCs w:val="24"/>
        </w:rPr>
        <w:t>gober</w:t>
      </w:r>
      <w:r w:rsidR="00FD2397">
        <w:rPr>
          <w:rFonts w:ascii="Arial" w:hAnsi="Arial" w:cs="Arial"/>
          <w:sz w:val="24"/>
          <w:szCs w:val="24"/>
        </w:rPr>
        <w:t>nancia</w:t>
      </w:r>
      <w:proofErr w:type="spellEnd"/>
      <w:r w:rsidR="00FD2397">
        <w:rPr>
          <w:rFonts w:ascii="Arial" w:hAnsi="Arial" w:cs="Arial"/>
          <w:sz w:val="24"/>
          <w:szCs w:val="24"/>
        </w:rPr>
        <w:t xml:space="preserve"> y de la aplicación</w:t>
      </w:r>
      <w:r w:rsidR="00A730F7" w:rsidRPr="00F05FC8">
        <w:rPr>
          <w:rFonts w:ascii="Arial" w:hAnsi="Arial" w:cs="Arial"/>
          <w:sz w:val="24"/>
          <w:szCs w:val="24"/>
        </w:rPr>
        <w:t xml:space="preserve"> de la oferta de educación superior, investigación, además de la extensión de la cultura y los servicios.</w:t>
      </w:r>
    </w:p>
    <w:p w:rsidR="00CA70B2" w:rsidRPr="00F05FC8" w:rsidRDefault="00CA70B2" w:rsidP="000802A1">
      <w:pPr>
        <w:jc w:val="both"/>
        <w:rPr>
          <w:rFonts w:ascii="Arial" w:hAnsi="Arial" w:cs="Arial"/>
          <w:sz w:val="16"/>
          <w:szCs w:val="16"/>
        </w:rPr>
      </w:pPr>
    </w:p>
    <w:p w:rsidR="00CA70B2" w:rsidRPr="00F05FC8" w:rsidRDefault="00CA70B2" w:rsidP="000802A1">
      <w:pPr>
        <w:jc w:val="both"/>
        <w:rPr>
          <w:rFonts w:ascii="Arial" w:hAnsi="Arial" w:cs="Arial"/>
          <w:sz w:val="24"/>
          <w:szCs w:val="24"/>
        </w:rPr>
      </w:pPr>
      <w:r w:rsidRPr="00F05FC8">
        <w:rPr>
          <w:rFonts w:ascii="Arial" w:hAnsi="Arial" w:cs="Arial"/>
          <w:sz w:val="24"/>
          <w:szCs w:val="24"/>
        </w:rPr>
        <w:t>Señaló que a pesar del adeudo, ninguno de los programas de apoyo fue cancelado, tan solo se suspendieron en tanto se buscaba la forma de darles continuidad. En ese sentido, el Rector manifestó que ya están abiertas las convocatorias de intercambio estudiantil para licenciatura y posgrado, así como para estancias de investigación.</w:t>
      </w:r>
    </w:p>
    <w:p w:rsidR="000802A1" w:rsidRPr="00F05FC8" w:rsidRDefault="000802A1" w:rsidP="000802A1">
      <w:pPr>
        <w:jc w:val="both"/>
        <w:rPr>
          <w:rFonts w:ascii="Arial" w:hAnsi="Arial" w:cs="Arial"/>
          <w:sz w:val="16"/>
          <w:szCs w:val="16"/>
        </w:rPr>
      </w:pPr>
    </w:p>
    <w:p w:rsidR="000802A1" w:rsidRPr="008047EF" w:rsidRDefault="0033781E" w:rsidP="000802A1">
      <w:pPr>
        <w:jc w:val="both"/>
        <w:rPr>
          <w:rFonts w:ascii="Arial" w:hAnsi="Arial" w:cs="Arial"/>
          <w:sz w:val="24"/>
          <w:szCs w:val="24"/>
        </w:rPr>
      </w:pPr>
      <w:r>
        <w:rPr>
          <w:rFonts w:ascii="Arial" w:hAnsi="Arial" w:cs="Arial"/>
          <w:sz w:val="24"/>
          <w:szCs w:val="24"/>
        </w:rPr>
        <w:t>Destacó que es</w:t>
      </w:r>
      <w:r w:rsidR="00CA70B2">
        <w:rPr>
          <w:rFonts w:ascii="Arial" w:hAnsi="Arial" w:cs="Arial"/>
          <w:sz w:val="24"/>
          <w:szCs w:val="24"/>
        </w:rPr>
        <w:t xml:space="preserve">ta Universidad se caracteriza por hacer mucho con </w:t>
      </w:r>
      <w:r w:rsidR="00F05FC8">
        <w:rPr>
          <w:rFonts w:ascii="Arial" w:hAnsi="Arial" w:cs="Arial"/>
          <w:sz w:val="24"/>
          <w:szCs w:val="24"/>
        </w:rPr>
        <w:t xml:space="preserve">poco ya </w:t>
      </w:r>
      <w:r>
        <w:rPr>
          <w:rFonts w:ascii="Arial" w:hAnsi="Arial" w:cs="Arial"/>
          <w:sz w:val="24"/>
          <w:szCs w:val="24"/>
        </w:rPr>
        <w:t>que</w:t>
      </w:r>
      <w:r w:rsidR="00F05FC8">
        <w:rPr>
          <w:rFonts w:ascii="Arial" w:hAnsi="Arial" w:cs="Arial"/>
          <w:sz w:val="24"/>
          <w:szCs w:val="24"/>
        </w:rPr>
        <w:t xml:space="preserve"> entre las u</w:t>
      </w:r>
      <w:r w:rsidR="00FD2397">
        <w:rPr>
          <w:rFonts w:ascii="Arial" w:hAnsi="Arial" w:cs="Arial"/>
          <w:sz w:val="24"/>
          <w:szCs w:val="24"/>
        </w:rPr>
        <w:t>niversidades públicas estatales</w:t>
      </w:r>
      <w:r w:rsidR="00F05FC8">
        <w:rPr>
          <w:rFonts w:ascii="Arial" w:hAnsi="Arial" w:cs="Arial"/>
          <w:sz w:val="24"/>
          <w:szCs w:val="24"/>
        </w:rPr>
        <w:t xml:space="preserve"> </w:t>
      </w:r>
      <w:r>
        <w:rPr>
          <w:rFonts w:ascii="Arial" w:hAnsi="Arial" w:cs="Arial"/>
          <w:sz w:val="24"/>
          <w:szCs w:val="24"/>
        </w:rPr>
        <w:t>tiene uno de los subsidios</w:t>
      </w:r>
      <w:r w:rsidR="00FD2397">
        <w:rPr>
          <w:rFonts w:ascii="Arial" w:hAnsi="Arial" w:cs="Arial"/>
          <w:sz w:val="24"/>
          <w:szCs w:val="24"/>
        </w:rPr>
        <w:t xml:space="preserve"> </w:t>
      </w:r>
      <w:r w:rsidR="00F05FC8">
        <w:rPr>
          <w:rFonts w:ascii="Arial" w:hAnsi="Arial" w:cs="Arial"/>
          <w:sz w:val="24"/>
          <w:szCs w:val="24"/>
        </w:rPr>
        <w:t xml:space="preserve">más bajo, </w:t>
      </w:r>
      <w:r w:rsidR="00847445">
        <w:rPr>
          <w:rFonts w:ascii="Arial" w:hAnsi="Arial" w:cs="Arial"/>
          <w:sz w:val="24"/>
          <w:szCs w:val="24"/>
        </w:rPr>
        <w:t>pues</w:t>
      </w:r>
      <w:r>
        <w:rPr>
          <w:rFonts w:ascii="Arial" w:hAnsi="Arial" w:cs="Arial"/>
          <w:sz w:val="24"/>
          <w:szCs w:val="24"/>
        </w:rPr>
        <w:t xml:space="preserve"> se ubica en </w:t>
      </w:r>
      <w:r w:rsidR="00F05FC8">
        <w:rPr>
          <w:rFonts w:ascii="Arial" w:hAnsi="Arial" w:cs="Arial"/>
          <w:sz w:val="24"/>
          <w:szCs w:val="24"/>
        </w:rPr>
        <w:t>la penúltima</w:t>
      </w:r>
      <w:r>
        <w:rPr>
          <w:rFonts w:ascii="Arial" w:hAnsi="Arial" w:cs="Arial"/>
          <w:sz w:val="24"/>
          <w:szCs w:val="24"/>
        </w:rPr>
        <w:t xml:space="preserve"> posición. “Y</w:t>
      </w:r>
      <w:r w:rsidR="00F05FC8">
        <w:rPr>
          <w:rFonts w:ascii="Arial" w:hAnsi="Arial" w:cs="Arial"/>
          <w:sz w:val="24"/>
          <w:szCs w:val="24"/>
        </w:rPr>
        <w:t xml:space="preserve"> aún con ese subsidio que tenemos, hemos podido conseguir los indicadores más altos. Es digno </w:t>
      </w:r>
      <w:r w:rsidR="00FD2397">
        <w:rPr>
          <w:rFonts w:ascii="Arial" w:hAnsi="Arial" w:cs="Arial"/>
          <w:sz w:val="24"/>
          <w:szCs w:val="24"/>
        </w:rPr>
        <w:t>sentirnos</w:t>
      </w:r>
      <w:r w:rsidR="00F05FC8">
        <w:rPr>
          <w:rFonts w:ascii="Arial" w:hAnsi="Arial" w:cs="Arial"/>
          <w:sz w:val="24"/>
          <w:szCs w:val="24"/>
        </w:rPr>
        <w:t xml:space="preserve"> orgullosos </w:t>
      </w:r>
      <w:r w:rsidR="00FD2397">
        <w:rPr>
          <w:rFonts w:ascii="Arial" w:hAnsi="Arial" w:cs="Arial"/>
          <w:sz w:val="24"/>
          <w:szCs w:val="24"/>
        </w:rPr>
        <w:t>d</w:t>
      </w:r>
      <w:r w:rsidR="00F05FC8">
        <w:rPr>
          <w:rFonts w:ascii="Arial" w:hAnsi="Arial" w:cs="Arial"/>
          <w:sz w:val="24"/>
          <w:szCs w:val="24"/>
        </w:rPr>
        <w:t>e la misma y que sigamos haciendo el buen uso de estos recursos</w:t>
      </w:r>
      <w:r w:rsidR="000802A1" w:rsidRPr="008047EF">
        <w:rPr>
          <w:rFonts w:ascii="Arial" w:hAnsi="Arial" w:cs="Arial"/>
          <w:sz w:val="24"/>
          <w:szCs w:val="24"/>
        </w:rPr>
        <w:t>“, expresó el Rector.</w:t>
      </w:r>
    </w:p>
    <w:p w:rsidR="000802A1" w:rsidRDefault="000802A1" w:rsidP="000802A1">
      <w:pPr>
        <w:jc w:val="both"/>
        <w:rPr>
          <w:rFonts w:ascii="Arial" w:hAnsi="Arial" w:cs="Arial"/>
          <w:sz w:val="24"/>
          <w:szCs w:val="24"/>
        </w:rPr>
      </w:pPr>
    </w:p>
    <w:p w:rsidR="00F05FC8" w:rsidRDefault="00F05FC8" w:rsidP="000802A1">
      <w:pPr>
        <w:jc w:val="both"/>
        <w:rPr>
          <w:rFonts w:ascii="Arial" w:hAnsi="Arial" w:cs="Arial"/>
          <w:sz w:val="24"/>
          <w:szCs w:val="24"/>
        </w:rPr>
      </w:pPr>
    </w:p>
    <w:p w:rsidR="00F05FC8" w:rsidRDefault="00F05FC8" w:rsidP="000802A1">
      <w:pPr>
        <w:jc w:val="both"/>
        <w:rPr>
          <w:rFonts w:ascii="Arial" w:hAnsi="Arial" w:cs="Arial"/>
          <w:sz w:val="24"/>
          <w:szCs w:val="24"/>
        </w:rPr>
      </w:pPr>
    </w:p>
    <w:p w:rsidR="00F05FC8" w:rsidRPr="008047EF" w:rsidRDefault="00F05FC8" w:rsidP="000802A1">
      <w:pPr>
        <w:jc w:val="both"/>
        <w:rPr>
          <w:rFonts w:ascii="Arial" w:hAnsi="Arial" w:cs="Arial"/>
          <w:sz w:val="24"/>
          <w:szCs w:val="24"/>
        </w:rPr>
      </w:pPr>
    </w:p>
    <w:p w:rsidR="000802A1" w:rsidRPr="0037667A" w:rsidRDefault="000802A1" w:rsidP="000802A1">
      <w:pPr>
        <w:jc w:val="both"/>
        <w:rPr>
          <w:rFonts w:ascii="Arial" w:hAnsi="Arial" w:cs="Arial"/>
          <w:color w:val="FF0000"/>
          <w:sz w:val="16"/>
          <w:szCs w:val="16"/>
          <w:shd w:val="clear" w:color="auto" w:fill="FFFFFF"/>
        </w:rPr>
      </w:pPr>
    </w:p>
    <w:p w:rsidR="000802A1" w:rsidRPr="008047EF" w:rsidRDefault="000802A1" w:rsidP="000802A1">
      <w:pPr>
        <w:jc w:val="both"/>
        <w:rPr>
          <w:rFonts w:ascii="Arial" w:hAnsi="Arial" w:cs="Arial"/>
          <w:b/>
          <w:color w:val="000000"/>
          <w:sz w:val="24"/>
          <w:szCs w:val="24"/>
          <w:shd w:val="clear" w:color="auto" w:fill="FFFFFF"/>
        </w:rPr>
      </w:pPr>
      <w:r w:rsidRPr="008047EF">
        <w:rPr>
          <w:rFonts w:ascii="Arial" w:hAnsi="Arial" w:cs="Arial"/>
          <w:b/>
          <w:color w:val="000000"/>
          <w:sz w:val="24"/>
          <w:szCs w:val="24"/>
          <w:shd w:val="clear" w:color="auto" w:fill="FFFFFF"/>
        </w:rPr>
        <w:t>Obras en las que se realizó inversión durante 201</w:t>
      </w:r>
      <w:r w:rsidR="008F5583" w:rsidRPr="008047EF">
        <w:rPr>
          <w:rFonts w:ascii="Arial" w:hAnsi="Arial" w:cs="Arial"/>
          <w:b/>
          <w:color w:val="000000"/>
          <w:sz w:val="24"/>
          <w:szCs w:val="24"/>
          <w:shd w:val="clear" w:color="auto" w:fill="FFFFFF"/>
        </w:rPr>
        <w:t>8</w:t>
      </w:r>
    </w:p>
    <w:p w:rsidR="0037667A" w:rsidRDefault="0071586D" w:rsidP="000802A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Algunas de</w:t>
      </w:r>
      <w:r w:rsidR="0037667A">
        <w:rPr>
          <w:rFonts w:ascii="Arial" w:hAnsi="Arial" w:cs="Arial"/>
          <w:color w:val="000000"/>
          <w:sz w:val="24"/>
          <w:szCs w:val="24"/>
          <w:shd w:val="clear" w:color="auto" w:fill="FFFFFF"/>
        </w:rPr>
        <w:t xml:space="preserve"> las </w:t>
      </w:r>
      <w:r w:rsidR="000802A1" w:rsidRPr="008047EF">
        <w:rPr>
          <w:rFonts w:ascii="Arial" w:hAnsi="Arial" w:cs="Arial"/>
          <w:color w:val="000000"/>
          <w:sz w:val="24"/>
          <w:szCs w:val="24"/>
          <w:shd w:val="clear" w:color="auto" w:fill="FFFFFF"/>
        </w:rPr>
        <w:t>obras realizadas</w:t>
      </w:r>
      <w:r>
        <w:rPr>
          <w:rFonts w:ascii="Arial" w:hAnsi="Arial" w:cs="Arial"/>
          <w:color w:val="000000"/>
          <w:sz w:val="24"/>
          <w:szCs w:val="24"/>
          <w:shd w:val="clear" w:color="auto" w:fill="FFFFFF"/>
        </w:rPr>
        <w:t xml:space="preserve"> en el Campus Mexicali fueron:</w:t>
      </w:r>
      <w:r w:rsidR="0037667A">
        <w:rPr>
          <w:rFonts w:ascii="Arial" w:hAnsi="Arial" w:cs="Arial"/>
          <w:color w:val="000000"/>
          <w:sz w:val="24"/>
          <w:szCs w:val="24"/>
          <w:shd w:val="clear" w:color="auto" w:fill="FFFFFF"/>
        </w:rPr>
        <w:t xml:space="preserve"> Laboratorio de Microscopía Avanzada para el Instituto de Ingeniería; rehabilitación estructural del edificio de laboratorio para las ingenierías  Mecánica e Industrial de la Facultad de Ingeniería. Para la Facultad de Artes se realizó la ampliación de edificio de aulas y cubículos a tres niveles, así como suministro y colocación de sistema de aire acondicionado e instalación de cámaras y red de datos para el Teatro Universitario.</w:t>
      </w:r>
    </w:p>
    <w:p w:rsidR="0037667A" w:rsidRPr="0037667A" w:rsidRDefault="0037667A" w:rsidP="000802A1">
      <w:pPr>
        <w:jc w:val="both"/>
        <w:rPr>
          <w:rFonts w:ascii="Arial" w:hAnsi="Arial" w:cs="Arial"/>
          <w:color w:val="000000"/>
          <w:sz w:val="16"/>
          <w:szCs w:val="16"/>
          <w:shd w:val="clear" w:color="auto" w:fill="FFFFFF"/>
        </w:rPr>
      </w:pPr>
    </w:p>
    <w:p w:rsidR="000802A1" w:rsidRDefault="0037667A" w:rsidP="000802A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También en el Campus Mexicali se realizó la rehabilitación estructural del edificio de laboratorios de Comunicación en la Facultad de Ciencias Humanas; y se construyeron cafeterías para la Unidad Morelos y el Instituto de Ciencias Agrícolas.  </w:t>
      </w:r>
    </w:p>
    <w:p w:rsidR="0071586D" w:rsidRPr="00F05FC8" w:rsidRDefault="0071586D" w:rsidP="000802A1">
      <w:pPr>
        <w:jc w:val="both"/>
        <w:rPr>
          <w:rFonts w:ascii="Arial" w:hAnsi="Arial" w:cs="Arial"/>
          <w:color w:val="000000"/>
          <w:sz w:val="16"/>
          <w:szCs w:val="16"/>
          <w:shd w:val="clear" w:color="auto" w:fill="FFFFFF"/>
        </w:rPr>
      </w:pPr>
    </w:p>
    <w:p w:rsidR="007632B2" w:rsidRDefault="007632B2" w:rsidP="000802A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Entre las principales obras que se realizaron p</w:t>
      </w:r>
      <w:r w:rsidR="0071586D">
        <w:rPr>
          <w:rFonts w:ascii="Arial" w:hAnsi="Arial" w:cs="Arial"/>
          <w:color w:val="000000"/>
          <w:sz w:val="24"/>
          <w:szCs w:val="24"/>
          <w:shd w:val="clear" w:color="auto" w:fill="FFFFFF"/>
        </w:rPr>
        <w:t>ara el Campus Tijuana</w:t>
      </w:r>
      <w:r>
        <w:rPr>
          <w:rFonts w:ascii="Arial" w:hAnsi="Arial" w:cs="Arial"/>
          <w:color w:val="000000"/>
          <w:sz w:val="24"/>
          <w:szCs w:val="24"/>
          <w:shd w:val="clear" w:color="auto" w:fill="FFFFFF"/>
        </w:rPr>
        <w:t xml:space="preserve"> se encuentran:</w:t>
      </w:r>
      <w:r w:rsidR="007F09D8">
        <w:rPr>
          <w:rFonts w:ascii="Arial" w:hAnsi="Arial" w:cs="Arial"/>
          <w:color w:val="000000"/>
          <w:sz w:val="24"/>
          <w:szCs w:val="24"/>
          <w:shd w:val="clear" w:color="auto" w:fill="FFFFFF"/>
        </w:rPr>
        <w:t xml:space="preserve"> complemento de construcción en l</w:t>
      </w:r>
      <w:r w:rsidR="00FD2397">
        <w:rPr>
          <w:rFonts w:ascii="Arial" w:hAnsi="Arial" w:cs="Arial"/>
          <w:color w:val="000000"/>
          <w:sz w:val="24"/>
          <w:szCs w:val="24"/>
          <w:shd w:val="clear" w:color="auto" w:fill="FFFFFF"/>
        </w:rPr>
        <w:t>a Clínica de Odontología de la c</w:t>
      </w:r>
      <w:r w:rsidR="007F09D8">
        <w:rPr>
          <w:rFonts w:ascii="Arial" w:hAnsi="Arial" w:cs="Arial"/>
          <w:color w:val="000000"/>
          <w:sz w:val="24"/>
          <w:szCs w:val="24"/>
          <w:shd w:val="clear" w:color="auto" w:fill="FFFFFF"/>
        </w:rPr>
        <w:t>ol</w:t>
      </w:r>
      <w:r w:rsidR="00FD2397">
        <w:rPr>
          <w:rFonts w:ascii="Arial" w:hAnsi="Arial" w:cs="Arial"/>
          <w:color w:val="000000"/>
          <w:sz w:val="24"/>
          <w:szCs w:val="24"/>
          <w:shd w:val="clear" w:color="auto" w:fill="FFFFFF"/>
        </w:rPr>
        <w:t>o</w:t>
      </w:r>
      <w:r w:rsidR="007F09D8">
        <w:rPr>
          <w:rFonts w:ascii="Arial" w:hAnsi="Arial" w:cs="Arial"/>
          <w:color w:val="000000"/>
          <w:sz w:val="24"/>
          <w:szCs w:val="24"/>
          <w:shd w:val="clear" w:color="auto" w:fill="FFFFFF"/>
        </w:rPr>
        <w:t xml:space="preserve">nia Lomas Verdes atendida por la Escuela de Ciencias de la Salud Valle de las Palmas, unidad académica para la que también se construyó una cafetería; continuación de edificio de posgrado y administración para la Facultad de Economía y Relaciones Internacionales; construcción de Kioscos de comida rápida; construcción de la primera etapa de edificio de aulas, posgrado y administración para las facultades de Humanidades y Ciencias Sociales, así como de Medicina y Psicología. </w:t>
      </w:r>
    </w:p>
    <w:p w:rsidR="007F09D8" w:rsidRPr="007F09D8" w:rsidRDefault="007F09D8" w:rsidP="000802A1">
      <w:pPr>
        <w:jc w:val="both"/>
        <w:rPr>
          <w:rFonts w:ascii="Arial" w:hAnsi="Arial" w:cs="Arial"/>
          <w:color w:val="000000"/>
          <w:sz w:val="16"/>
          <w:szCs w:val="16"/>
          <w:shd w:val="clear" w:color="auto" w:fill="FFFFFF"/>
        </w:rPr>
      </w:pPr>
    </w:p>
    <w:p w:rsidR="008F5583" w:rsidRDefault="007F09D8" w:rsidP="000802A1">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Respecto al Campus Ensenada, algunas obras son: edificio de aulas y laboratorios del Instituto de Investigaciones </w:t>
      </w:r>
      <w:proofErr w:type="spellStart"/>
      <w:r>
        <w:rPr>
          <w:rFonts w:ascii="Arial" w:hAnsi="Arial" w:cs="Arial"/>
          <w:color w:val="000000"/>
          <w:sz w:val="24"/>
          <w:szCs w:val="24"/>
          <w:shd w:val="clear" w:color="auto" w:fill="FFFFFF"/>
        </w:rPr>
        <w:t>Oceanológicas</w:t>
      </w:r>
      <w:proofErr w:type="spellEnd"/>
      <w:r>
        <w:rPr>
          <w:rFonts w:ascii="Arial" w:hAnsi="Arial" w:cs="Arial"/>
          <w:color w:val="000000"/>
          <w:sz w:val="24"/>
          <w:szCs w:val="24"/>
          <w:shd w:val="clear" w:color="auto" w:fill="FFFFFF"/>
        </w:rPr>
        <w:t xml:space="preserve">; ampliación de la Unidad de Manejo Acuícola (UMA) para la reproducción y crianza de </w:t>
      </w:r>
      <w:proofErr w:type="spellStart"/>
      <w:r>
        <w:rPr>
          <w:rFonts w:ascii="Arial" w:hAnsi="Arial" w:cs="Arial"/>
          <w:color w:val="000000"/>
          <w:sz w:val="24"/>
          <w:szCs w:val="24"/>
          <w:shd w:val="clear" w:color="auto" w:fill="FFFFFF"/>
        </w:rPr>
        <w:t>Totoaba</w:t>
      </w:r>
      <w:proofErr w:type="spellEnd"/>
      <w:r>
        <w:rPr>
          <w:rFonts w:ascii="Arial" w:hAnsi="Arial" w:cs="Arial"/>
          <w:color w:val="000000"/>
          <w:sz w:val="24"/>
          <w:szCs w:val="24"/>
          <w:shd w:val="clear" w:color="auto" w:fill="FFFFFF"/>
        </w:rPr>
        <w:t xml:space="preserve"> </w:t>
      </w:r>
      <w:proofErr w:type="spellStart"/>
      <w:r>
        <w:rPr>
          <w:rFonts w:ascii="Arial" w:hAnsi="Arial" w:cs="Arial"/>
          <w:color w:val="000000"/>
          <w:sz w:val="24"/>
          <w:szCs w:val="24"/>
          <w:shd w:val="clear" w:color="auto" w:fill="FFFFFF"/>
        </w:rPr>
        <w:t>macdonaldi</w:t>
      </w:r>
      <w:proofErr w:type="spellEnd"/>
      <w:r>
        <w:rPr>
          <w:rFonts w:ascii="Arial" w:hAnsi="Arial" w:cs="Arial"/>
          <w:color w:val="000000"/>
          <w:sz w:val="24"/>
          <w:szCs w:val="24"/>
          <w:shd w:val="clear" w:color="auto" w:fill="FFFFFF"/>
        </w:rPr>
        <w:t>, así como restaurante escuela para la Unidad Punta Morro, atendida por la Escuela de Enología y Gastronomía.</w:t>
      </w:r>
    </w:p>
    <w:p w:rsidR="007F09D8" w:rsidRPr="007F09D8" w:rsidRDefault="007F09D8" w:rsidP="000802A1">
      <w:pPr>
        <w:jc w:val="both"/>
        <w:rPr>
          <w:rFonts w:ascii="Arial" w:hAnsi="Arial" w:cs="Arial"/>
          <w:color w:val="FF0000"/>
          <w:sz w:val="16"/>
          <w:szCs w:val="16"/>
          <w:shd w:val="clear" w:color="auto" w:fill="FFFFFF"/>
        </w:rPr>
      </w:pPr>
    </w:p>
    <w:p w:rsidR="008F5583" w:rsidRPr="008047EF" w:rsidRDefault="008F5583" w:rsidP="000802A1">
      <w:pPr>
        <w:jc w:val="both"/>
        <w:rPr>
          <w:rFonts w:ascii="Arial" w:hAnsi="Arial" w:cs="Arial"/>
          <w:b/>
          <w:sz w:val="24"/>
          <w:szCs w:val="24"/>
          <w:shd w:val="clear" w:color="auto" w:fill="FFFFFF"/>
        </w:rPr>
      </w:pPr>
      <w:r w:rsidRPr="008047EF">
        <w:rPr>
          <w:rFonts w:ascii="Arial" w:hAnsi="Arial" w:cs="Arial"/>
          <w:b/>
          <w:sz w:val="24"/>
          <w:szCs w:val="24"/>
          <w:shd w:val="clear" w:color="auto" w:fill="FFFFFF"/>
        </w:rPr>
        <w:t>Modificación de integrantes de Comisiones Permanentes</w:t>
      </w:r>
    </w:p>
    <w:p w:rsidR="000802A1" w:rsidRPr="008047EF" w:rsidRDefault="008F5583" w:rsidP="000802A1">
      <w:pPr>
        <w:pStyle w:val="Ttulo3"/>
        <w:shd w:val="clear" w:color="auto" w:fill="FFFFFF"/>
        <w:spacing w:before="0"/>
        <w:jc w:val="both"/>
        <w:rPr>
          <w:rFonts w:ascii="Arial" w:hAnsi="Arial" w:cs="Arial"/>
          <w:b w:val="0"/>
          <w:bCs w:val="0"/>
          <w:color w:val="auto"/>
          <w:sz w:val="24"/>
          <w:szCs w:val="24"/>
        </w:rPr>
      </w:pPr>
      <w:r w:rsidRPr="008047EF">
        <w:rPr>
          <w:rFonts w:ascii="Arial" w:hAnsi="Arial" w:cs="Arial"/>
          <w:b w:val="0"/>
          <w:bCs w:val="0"/>
          <w:color w:val="auto"/>
          <w:sz w:val="24"/>
          <w:szCs w:val="24"/>
        </w:rPr>
        <w:t xml:space="preserve">Debido al cambio de la administración rectoral de la UABC y que algunos de los directivos de diversas unidades académicas se integraron al </w:t>
      </w:r>
      <w:r w:rsidR="0039557E" w:rsidRPr="008047EF">
        <w:rPr>
          <w:rFonts w:ascii="Arial" w:hAnsi="Arial" w:cs="Arial"/>
          <w:b w:val="0"/>
          <w:bCs w:val="0"/>
          <w:color w:val="auto"/>
          <w:sz w:val="24"/>
          <w:szCs w:val="24"/>
        </w:rPr>
        <w:t>equipo central, se llevó a cabo la m</w:t>
      </w:r>
      <w:r w:rsidR="000802A1" w:rsidRPr="008047EF">
        <w:rPr>
          <w:rFonts w:ascii="Arial" w:hAnsi="Arial" w:cs="Arial"/>
          <w:b w:val="0"/>
          <w:bCs w:val="0"/>
          <w:color w:val="auto"/>
          <w:sz w:val="24"/>
          <w:szCs w:val="24"/>
        </w:rPr>
        <w:t>odificación de la integración de las </w:t>
      </w:r>
      <w:r w:rsidR="000802A1" w:rsidRPr="008047EF">
        <w:rPr>
          <w:rStyle w:val="Textoennegrita"/>
          <w:rFonts w:ascii="Arial" w:hAnsi="Arial" w:cs="Arial"/>
          <w:color w:val="auto"/>
          <w:sz w:val="24"/>
          <w:szCs w:val="24"/>
        </w:rPr>
        <w:t>Comisiones Permanentes del Consejo Universitario</w:t>
      </w:r>
      <w:r w:rsidR="000802A1" w:rsidRPr="008047EF">
        <w:rPr>
          <w:rFonts w:ascii="Arial" w:hAnsi="Arial" w:cs="Arial"/>
          <w:b w:val="0"/>
          <w:bCs w:val="0"/>
          <w:color w:val="auto"/>
          <w:sz w:val="24"/>
          <w:szCs w:val="24"/>
        </w:rPr>
        <w:t>, conforme a los artículos 61 y 78 fracción XIII, del Estatuto General de la Universidad.</w:t>
      </w:r>
    </w:p>
    <w:p w:rsidR="0039557E" w:rsidRPr="007F09D8" w:rsidRDefault="0039557E" w:rsidP="0039557E">
      <w:pPr>
        <w:rPr>
          <w:rFonts w:ascii="Arial" w:hAnsi="Arial" w:cs="Arial"/>
          <w:sz w:val="16"/>
          <w:szCs w:val="16"/>
        </w:rPr>
      </w:pPr>
    </w:p>
    <w:p w:rsidR="0039557E" w:rsidRPr="008047EF" w:rsidRDefault="0039557E" w:rsidP="0039557E">
      <w:pPr>
        <w:rPr>
          <w:rFonts w:ascii="Arial" w:hAnsi="Arial" w:cs="Arial"/>
          <w:b/>
          <w:sz w:val="24"/>
          <w:szCs w:val="24"/>
        </w:rPr>
      </w:pPr>
      <w:r w:rsidRPr="008047EF">
        <w:rPr>
          <w:rFonts w:ascii="Arial" w:hAnsi="Arial" w:cs="Arial"/>
          <w:b/>
          <w:sz w:val="24"/>
          <w:szCs w:val="24"/>
        </w:rPr>
        <w:t xml:space="preserve">Titulares del Tribunal Universitario </w:t>
      </w:r>
    </w:p>
    <w:p w:rsidR="00952A0E" w:rsidRPr="008047EF" w:rsidRDefault="000802A1" w:rsidP="000802A1">
      <w:pPr>
        <w:pStyle w:val="Ttulo3"/>
        <w:shd w:val="clear" w:color="auto" w:fill="FFFFFF"/>
        <w:spacing w:before="0"/>
        <w:jc w:val="both"/>
        <w:rPr>
          <w:rStyle w:val="Textoennegrita"/>
          <w:rFonts w:ascii="Arial" w:hAnsi="Arial" w:cs="Arial"/>
          <w:color w:val="auto"/>
          <w:sz w:val="24"/>
          <w:szCs w:val="24"/>
        </w:rPr>
      </w:pPr>
      <w:r w:rsidRPr="008047EF">
        <w:rPr>
          <w:rStyle w:val="Textoennegrita"/>
          <w:rFonts w:ascii="Arial" w:hAnsi="Arial" w:cs="Arial"/>
          <w:color w:val="auto"/>
          <w:sz w:val="24"/>
          <w:szCs w:val="24"/>
        </w:rPr>
        <w:t>En el Consejo Universitario se llevó a cabo la designación de</w:t>
      </w:r>
      <w:r w:rsidR="00952A0E" w:rsidRPr="008047EF">
        <w:rPr>
          <w:rStyle w:val="Textoennegrita"/>
          <w:rFonts w:ascii="Arial" w:hAnsi="Arial" w:cs="Arial"/>
          <w:color w:val="auto"/>
          <w:sz w:val="24"/>
          <w:szCs w:val="24"/>
        </w:rPr>
        <w:t xml:space="preserve"> los jueces titulares y suplentes del Tribunal Universitario para el periodo 2019-2022. En el Campus Ensenada se designó como titular a la doctora Paola </w:t>
      </w:r>
      <w:proofErr w:type="spellStart"/>
      <w:r w:rsidR="00952A0E" w:rsidRPr="008047EF">
        <w:rPr>
          <w:rStyle w:val="Textoennegrita"/>
          <w:rFonts w:ascii="Arial" w:hAnsi="Arial" w:cs="Arial"/>
          <w:color w:val="auto"/>
          <w:sz w:val="24"/>
          <w:szCs w:val="24"/>
        </w:rPr>
        <w:t>Lizzet</w:t>
      </w:r>
      <w:proofErr w:type="spellEnd"/>
      <w:r w:rsidR="00952A0E" w:rsidRPr="008047EF">
        <w:rPr>
          <w:rStyle w:val="Textoennegrita"/>
          <w:rFonts w:ascii="Arial" w:hAnsi="Arial" w:cs="Arial"/>
          <w:color w:val="auto"/>
          <w:sz w:val="24"/>
          <w:szCs w:val="24"/>
        </w:rPr>
        <w:t xml:space="preserve"> </w:t>
      </w:r>
      <w:proofErr w:type="spellStart"/>
      <w:r w:rsidR="00952A0E" w:rsidRPr="008047EF">
        <w:rPr>
          <w:rStyle w:val="Textoennegrita"/>
          <w:rFonts w:ascii="Arial" w:hAnsi="Arial" w:cs="Arial"/>
          <w:color w:val="auto"/>
          <w:sz w:val="24"/>
          <w:szCs w:val="24"/>
        </w:rPr>
        <w:t>Flemate</w:t>
      </w:r>
      <w:proofErr w:type="spellEnd"/>
      <w:r w:rsidR="00952A0E" w:rsidRPr="008047EF">
        <w:rPr>
          <w:rStyle w:val="Textoennegrita"/>
          <w:rFonts w:ascii="Arial" w:hAnsi="Arial" w:cs="Arial"/>
          <w:color w:val="auto"/>
          <w:sz w:val="24"/>
          <w:szCs w:val="24"/>
        </w:rPr>
        <w:t xml:space="preserve"> Díaz y como suplente al doctor Christian Norberto Hernández Aguirre; en el Campus Tijuana, se ratificó como titular al maestro </w:t>
      </w:r>
      <w:r w:rsidRPr="008047EF">
        <w:rPr>
          <w:rStyle w:val="Textoennegrita"/>
          <w:rFonts w:ascii="Arial" w:hAnsi="Arial" w:cs="Arial"/>
          <w:color w:val="auto"/>
          <w:sz w:val="24"/>
          <w:szCs w:val="24"/>
        </w:rPr>
        <w:t>J. Jesús Cosío Hernández</w:t>
      </w:r>
      <w:r w:rsidR="00952A0E" w:rsidRPr="008047EF">
        <w:rPr>
          <w:rStyle w:val="Textoennegrita"/>
          <w:rFonts w:ascii="Arial" w:hAnsi="Arial" w:cs="Arial"/>
          <w:color w:val="auto"/>
          <w:sz w:val="24"/>
          <w:szCs w:val="24"/>
        </w:rPr>
        <w:t xml:space="preserve"> y como suplente al maestro</w:t>
      </w:r>
      <w:r w:rsidRPr="008047EF">
        <w:rPr>
          <w:rStyle w:val="Textoennegrita"/>
          <w:rFonts w:ascii="Arial" w:hAnsi="Arial" w:cs="Arial"/>
          <w:color w:val="auto"/>
          <w:sz w:val="24"/>
          <w:szCs w:val="24"/>
        </w:rPr>
        <w:t xml:space="preserve"> Víctor Hugo Saldaña Guevara</w:t>
      </w:r>
      <w:r w:rsidR="00952A0E" w:rsidRPr="008047EF">
        <w:rPr>
          <w:rStyle w:val="Textoennegrita"/>
          <w:rFonts w:ascii="Arial" w:hAnsi="Arial" w:cs="Arial"/>
          <w:color w:val="auto"/>
          <w:sz w:val="24"/>
          <w:szCs w:val="24"/>
        </w:rPr>
        <w:t>.</w:t>
      </w:r>
    </w:p>
    <w:p w:rsidR="000802A1" w:rsidRPr="007F09D8" w:rsidRDefault="000802A1" w:rsidP="000802A1">
      <w:pPr>
        <w:pStyle w:val="NormalWeb"/>
        <w:spacing w:before="0" w:after="0"/>
        <w:jc w:val="both"/>
        <w:rPr>
          <w:rFonts w:ascii="Arial" w:hAnsi="Arial" w:cs="Arial"/>
          <w:sz w:val="16"/>
          <w:szCs w:val="16"/>
          <w:lang w:val="es-MX"/>
        </w:rPr>
      </w:pPr>
    </w:p>
    <w:p w:rsidR="000802A1" w:rsidRPr="008047EF" w:rsidRDefault="000802A1" w:rsidP="000802A1">
      <w:pPr>
        <w:pStyle w:val="Ttulo3"/>
        <w:shd w:val="clear" w:color="auto" w:fill="FFFFFF"/>
        <w:spacing w:before="0"/>
        <w:jc w:val="both"/>
        <w:rPr>
          <w:rStyle w:val="Textoennegrita"/>
          <w:rFonts w:ascii="Arial" w:hAnsi="Arial" w:cs="Arial"/>
          <w:color w:val="auto"/>
          <w:sz w:val="24"/>
          <w:szCs w:val="24"/>
        </w:rPr>
      </w:pPr>
      <w:r w:rsidRPr="008047EF">
        <w:rPr>
          <w:rStyle w:val="Textoennegrita"/>
          <w:rFonts w:ascii="Arial" w:hAnsi="Arial" w:cs="Arial"/>
          <w:color w:val="auto"/>
          <w:sz w:val="24"/>
          <w:szCs w:val="24"/>
        </w:rPr>
        <w:t>En el Tribunal Universitario del Campus Mexicali, se designó como Juez Titular a la doctora Magdalena Díaz Beltrán y como suplente al maestro Emigdio Julián Becerra Valenzuela para el mismo periodo que los anteriores jueces.</w:t>
      </w:r>
    </w:p>
    <w:p w:rsidR="00952A0E" w:rsidRPr="007F09D8" w:rsidRDefault="00952A0E" w:rsidP="00952A0E">
      <w:pPr>
        <w:rPr>
          <w:rFonts w:ascii="Arial" w:hAnsi="Arial" w:cs="Arial"/>
          <w:sz w:val="16"/>
          <w:szCs w:val="16"/>
        </w:rPr>
      </w:pPr>
    </w:p>
    <w:p w:rsidR="000802A1" w:rsidRPr="008047EF" w:rsidRDefault="00952A0E" w:rsidP="00952A0E">
      <w:pPr>
        <w:rPr>
          <w:rFonts w:ascii="Arial" w:hAnsi="Arial" w:cs="Arial"/>
          <w:b/>
          <w:bCs/>
          <w:sz w:val="24"/>
          <w:szCs w:val="24"/>
        </w:rPr>
      </w:pPr>
      <w:r w:rsidRPr="008047EF">
        <w:rPr>
          <w:rFonts w:ascii="Arial" w:hAnsi="Arial" w:cs="Arial"/>
          <w:b/>
          <w:sz w:val="24"/>
          <w:szCs w:val="24"/>
        </w:rPr>
        <w:t xml:space="preserve">Propuestas  de </w:t>
      </w:r>
      <w:r w:rsidRPr="008047EF">
        <w:rPr>
          <w:rStyle w:val="Textoennegrita"/>
          <w:rFonts w:ascii="Arial" w:hAnsi="Arial" w:cs="Arial"/>
          <w:sz w:val="24"/>
          <w:szCs w:val="24"/>
        </w:rPr>
        <w:t>modificación del plan de estudios de programas educativos</w:t>
      </w:r>
      <w:r w:rsidRPr="008047EF">
        <w:rPr>
          <w:rStyle w:val="Textoennegrita"/>
          <w:rFonts w:ascii="Arial" w:hAnsi="Arial" w:cs="Arial"/>
          <w:b w:val="0"/>
          <w:sz w:val="24"/>
          <w:szCs w:val="24"/>
        </w:rPr>
        <w:t xml:space="preserve"> </w:t>
      </w:r>
    </w:p>
    <w:p w:rsidR="000802A1" w:rsidRPr="008047EF" w:rsidRDefault="000802A1" w:rsidP="000802A1">
      <w:pPr>
        <w:pStyle w:val="Ttulo3"/>
        <w:shd w:val="clear" w:color="auto" w:fill="FFFFFF"/>
        <w:spacing w:before="0"/>
        <w:jc w:val="both"/>
        <w:rPr>
          <w:rFonts w:ascii="Arial" w:hAnsi="Arial" w:cs="Arial"/>
          <w:b w:val="0"/>
          <w:bCs w:val="0"/>
          <w:color w:val="auto"/>
          <w:sz w:val="24"/>
          <w:szCs w:val="24"/>
        </w:rPr>
      </w:pPr>
      <w:r w:rsidRPr="008047EF">
        <w:rPr>
          <w:rFonts w:ascii="Arial" w:hAnsi="Arial" w:cs="Arial"/>
          <w:b w:val="0"/>
          <w:bCs w:val="0"/>
          <w:color w:val="auto"/>
          <w:sz w:val="24"/>
          <w:szCs w:val="24"/>
        </w:rPr>
        <w:t>En otros puntos del orden del día, se turnó a la Comisión Permanente de Asuntos Técnicos, </w:t>
      </w:r>
      <w:r w:rsidRPr="008047EF">
        <w:rPr>
          <w:rStyle w:val="Textoennegrita"/>
          <w:rFonts w:ascii="Arial" w:hAnsi="Arial" w:cs="Arial"/>
          <w:color w:val="auto"/>
          <w:sz w:val="24"/>
          <w:szCs w:val="24"/>
        </w:rPr>
        <w:t xml:space="preserve">la propuesta de modificación del plan de estudios del programa educativo de Ingeniero Industrial </w:t>
      </w:r>
      <w:r w:rsidRPr="008047EF">
        <w:rPr>
          <w:rFonts w:ascii="Arial" w:hAnsi="Arial" w:cs="Arial"/>
          <w:b w:val="0"/>
          <w:bCs w:val="0"/>
          <w:color w:val="auto"/>
          <w:sz w:val="24"/>
          <w:szCs w:val="24"/>
        </w:rPr>
        <w:t>por solicitud de los Consejos Técnicos de la Facultad de Ciencias Químicas e Ingeniería</w:t>
      </w:r>
      <w:r w:rsidR="00FD2397">
        <w:rPr>
          <w:rFonts w:ascii="Arial" w:hAnsi="Arial" w:cs="Arial"/>
          <w:b w:val="0"/>
          <w:bCs w:val="0"/>
          <w:color w:val="auto"/>
          <w:sz w:val="24"/>
          <w:szCs w:val="24"/>
        </w:rPr>
        <w:t>;</w:t>
      </w:r>
      <w:r w:rsidRPr="008047EF">
        <w:rPr>
          <w:rFonts w:ascii="Arial" w:hAnsi="Arial" w:cs="Arial"/>
          <w:b w:val="0"/>
          <w:bCs w:val="0"/>
          <w:color w:val="auto"/>
          <w:sz w:val="24"/>
          <w:szCs w:val="24"/>
        </w:rPr>
        <w:t xml:space="preserve"> la Facultad de Ingeniería</w:t>
      </w:r>
      <w:r w:rsidR="00FD2397">
        <w:rPr>
          <w:rFonts w:ascii="Arial" w:hAnsi="Arial" w:cs="Arial"/>
          <w:b w:val="0"/>
          <w:bCs w:val="0"/>
          <w:color w:val="auto"/>
          <w:sz w:val="24"/>
          <w:szCs w:val="24"/>
        </w:rPr>
        <w:t>;</w:t>
      </w:r>
      <w:r w:rsidRPr="008047EF">
        <w:rPr>
          <w:rFonts w:ascii="Arial" w:hAnsi="Arial" w:cs="Arial"/>
          <w:b w:val="0"/>
          <w:bCs w:val="0"/>
          <w:color w:val="auto"/>
          <w:sz w:val="24"/>
          <w:szCs w:val="24"/>
        </w:rPr>
        <w:t xml:space="preserve"> la Facultad de Ingeniería, Arquitectura y Diseño</w:t>
      </w:r>
      <w:r w:rsidR="00FD2397">
        <w:rPr>
          <w:rFonts w:ascii="Arial" w:hAnsi="Arial" w:cs="Arial"/>
          <w:b w:val="0"/>
          <w:bCs w:val="0"/>
          <w:color w:val="auto"/>
          <w:sz w:val="24"/>
          <w:szCs w:val="24"/>
        </w:rPr>
        <w:t>;</w:t>
      </w:r>
      <w:r w:rsidRPr="008047EF">
        <w:rPr>
          <w:rFonts w:ascii="Arial" w:hAnsi="Arial" w:cs="Arial"/>
          <w:b w:val="0"/>
          <w:bCs w:val="0"/>
          <w:color w:val="auto"/>
          <w:sz w:val="24"/>
          <w:szCs w:val="24"/>
        </w:rPr>
        <w:t xml:space="preserve"> la Facultad de Ingeniería y Negocios, Tecate</w:t>
      </w:r>
      <w:r w:rsidR="00FD2397">
        <w:rPr>
          <w:rFonts w:ascii="Arial" w:hAnsi="Arial" w:cs="Arial"/>
          <w:b w:val="0"/>
          <w:bCs w:val="0"/>
          <w:color w:val="auto"/>
          <w:sz w:val="24"/>
          <w:szCs w:val="24"/>
        </w:rPr>
        <w:t>;</w:t>
      </w:r>
      <w:r w:rsidRPr="008047EF">
        <w:rPr>
          <w:rFonts w:ascii="Arial" w:hAnsi="Arial" w:cs="Arial"/>
          <w:b w:val="0"/>
          <w:bCs w:val="0"/>
          <w:color w:val="auto"/>
          <w:sz w:val="24"/>
          <w:szCs w:val="24"/>
        </w:rPr>
        <w:t xml:space="preserve"> y la Escuela de Ciencias de la Ingeniería y Tecnología.</w:t>
      </w:r>
    </w:p>
    <w:p w:rsidR="000802A1" w:rsidRPr="007F09D8" w:rsidRDefault="000802A1" w:rsidP="000802A1">
      <w:pPr>
        <w:pStyle w:val="Ttulo3"/>
        <w:shd w:val="clear" w:color="auto" w:fill="FFFFFF"/>
        <w:spacing w:before="0"/>
        <w:jc w:val="both"/>
        <w:rPr>
          <w:rFonts w:ascii="Arial" w:hAnsi="Arial" w:cs="Arial"/>
          <w:b w:val="0"/>
          <w:bCs w:val="0"/>
          <w:color w:val="auto"/>
          <w:sz w:val="16"/>
          <w:szCs w:val="16"/>
        </w:rPr>
      </w:pPr>
    </w:p>
    <w:p w:rsidR="009858ED" w:rsidRDefault="000802A1" w:rsidP="00CD55EE">
      <w:pPr>
        <w:pStyle w:val="Ttulo3"/>
        <w:shd w:val="clear" w:color="auto" w:fill="FFFFFF"/>
        <w:spacing w:before="0"/>
        <w:jc w:val="both"/>
        <w:rPr>
          <w:rFonts w:ascii="Arial" w:hAnsi="Arial" w:cs="Arial"/>
          <w:b w:val="0"/>
          <w:spacing w:val="-4"/>
          <w:sz w:val="24"/>
          <w:szCs w:val="24"/>
          <w:lang w:eastAsia="en-US"/>
        </w:rPr>
      </w:pPr>
      <w:r w:rsidRPr="008047EF">
        <w:rPr>
          <w:rFonts w:ascii="Arial" w:hAnsi="Arial" w:cs="Arial"/>
          <w:b w:val="0"/>
          <w:bCs w:val="0"/>
          <w:color w:val="auto"/>
          <w:sz w:val="24"/>
          <w:szCs w:val="24"/>
        </w:rPr>
        <w:t>Se turnó a la misma Comisión, </w:t>
      </w:r>
      <w:r w:rsidRPr="008047EF">
        <w:rPr>
          <w:rStyle w:val="Textoennegrita"/>
          <w:rFonts w:ascii="Arial" w:hAnsi="Arial" w:cs="Arial"/>
          <w:color w:val="auto"/>
          <w:sz w:val="24"/>
          <w:szCs w:val="24"/>
        </w:rPr>
        <w:t>la propuesta de modificación del plan de estudios del programa educativo de Ingeniero en Mecatrónica</w:t>
      </w:r>
      <w:r w:rsidRPr="008047EF">
        <w:rPr>
          <w:rFonts w:ascii="Arial" w:hAnsi="Arial" w:cs="Arial"/>
          <w:b w:val="0"/>
          <w:bCs w:val="0"/>
          <w:color w:val="auto"/>
          <w:sz w:val="24"/>
          <w:szCs w:val="24"/>
        </w:rPr>
        <w:t>, por solicitud de los Consejos Técnicos de la Facultad de Ingeniería, la Facultad de Ingeniería y Negocios, Tecate y la Escuela de Ciencias de la Ingeniería y Tecnología.</w:t>
      </w:r>
    </w:p>
    <w:p w:rsidR="00F05FC8" w:rsidRPr="00CD55EE" w:rsidRDefault="00F05FC8" w:rsidP="00F05FC8">
      <w:pPr>
        <w:jc w:val="right"/>
        <w:rPr>
          <w:rFonts w:ascii="Arial" w:hAnsi="Arial" w:cs="Arial"/>
          <w:b/>
          <w:color w:val="FF0000"/>
          <w:spacing w:val="-4"/>
          <w:sz w:val="24"/>
          <w:szCs w:val="24"/>
          <w:lang w:eastAsia="en-US"/>
        </w:rPr>
      </w:pPr>
    </w:p>
    <w:p w:rsidR="00F05FC8" w:rsidRPr="00CD55EE" w:rsidRDefault="00F05FC8" w:rsidP="00F05FC8">
      <w:pPr>
        <w:jc w:val="right"/>
        <w:rPr>
          <w:rFonts w:ascii="Arial" w:hAnsi="Arial" w:cs="Arial"/>
          <w:b/>
          <w:color w:val="FF0000"/>
          <w:spacing w:val="-4"/>
          <w:sz w:val="24"/>
          <w:szCs w:val="24"/>
          <w:lang w:eastAsia="en-US"/>
        </w:rPr>
      </w:pPr>
    </w:p>
    <w:p w:rsidR="00F05FC8" w:rsidRPr="00CD55EE" w:rsidRDefault="00CD55EE" w:rsidP="00CD55EE">
      <w:pPr>
        <w:rPr>
          <w:rFonts w:ascii="Arial" w:hAnsi="Arial" w:cs="Arial"/>
          <w:b/>
          <w:color w:val="FFFFFF" w:themeColor="background1"/>
          <w:spacing w:val="-4"/>
          <w:sz w:val="16"/>
          <w:szCs w:val="24"/>
          <w:lang w:eastAsia="en-US"/>
        </w:rPr>
      </w:pPr>
      <w:r>
        <w:rPr>
          <w:rFonts w:ascii="Arial" w:hAnsi="Arial" w:cs="Arial"/>
          <w:b/>
          <w:color w:val="FF0000"/>
          <w:spacing w:val="-4"/>
          <w:sz w:val="16"/>
          <w:szCs w:val="24"/>
          <w:lang w:eastAsia="en-US"/>
        </w:rPr>
        <w:t xml:space="preserve">                                                                                                                                                           </w:t>
      </w:r>
      <w:r w:rsidR="00F05FC8" w:rsidRPr="00CD55EE">
        <w:rPr>
          <w:rFonts w:ascii="Arial" w:hAnsi="Arial" w:cs="Arial"/>
          <w:b/>
          <w:color w:val="FFFFFF" w:themeColor="background1"/>
          <w:spacing w:val="-4"/>
          <w:sz w:val="16"/>
          <w:szCs w:val="24"/>
          <w:lang w:eastAsia="en-US"/>
        </w:rPr>
        <w:t>Redacción: An</w:t>
      </w:r>
      <w:r w:rsidRPr="00CD55EE">
        <w:rPr>
          <w:rFonts w:ascii="Arial" w:hAnsi="Arial" w:cs="Arial"/>
          <w:b/>
          <w:color w:val="FFFFFF" w:themeColor="background1"/>
          <w:spacing w:val="-4"/>
          <w:sz w:val="16"/>
          <w:szCs w:val="24"/>
          <w:lang w:eastAsia="en-US"/>
        </w:rPr>
        <w:t>gélica Gómez               Fotos: Néstor Díaz</w:t>
      </w:r>
    </w:p>
    <w:sectPr w:rsidR="00F05FC8" w:rsidRPr="00CD55EE"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D5C" w:rsidRDefault="00312D5C">
      <w:r>
        <w:separator/>
      </w:r>
    </w:p>
  </w:endnote>
  <w:endnote w:type="continuationSeparator" w:id="0">
    <w:p w:rsidR="00312D5C" w:rsidRDefault="0031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D5C" w:rsidRDefault="00312D5C">
      <w:r>
        <w:rPr>
          <w:color w:val="000000"/>
        </w:rPr>
        <w:separator/>
      </w:r>
    </w:p>
  </w:footnote>
  <w:footnote w:type="continuationSeparator" w:id="0">
    <w:p w:rsidR="00312D5C" w:rsidRDefault="00312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8">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3"/>
  </w:num>
  <w:num w:numId="4">
    <w:abstractNumId w:val="10"/>
  </w:num>
  <w:num w:numId="5">
    <w:abstractNumId w:val="7"/>
  </w:num>
  <w:num w:numId="6">
    <w:abstractNumId w:val="6"/>
  </w:num>
  <w:num w:numId="7">
    <w:abstractNumId w:val="6"/>
  </w:num>
  <w:num w:numId="8">
    <w:abstractNumId w:val="8"/>
  </w:num>
  <w:num w:numId="9">
    <w:abstractNumId w:val="1"/>
  </w:num>
  <w:num w:numId="10">
    <w:abstractNumId w:val="9"/>
  </w:num>
  <w:num w:numId="11">
    <w:abstractNumId w:val="17"/>
  </w:num>
  <w:num w:numId="12">
    <w:abstractNumId w:val="18"/>
  </w:num>
  <w:num w:numId="13">
    <w:abstractNumId w:val="3"/>
  </w:num>
  <w:num w:numId="14">
    <w:abstractNumId w:val="5"/>
  </w:num>
  <w:num w:numId="15">
    <w:abstractNumId w:val="0"/>
  </w:num>
  <w:num w:numId="16">
    <w:abstractNumId w:val="20"/>
  </w:num>
  <w:num w:numId="17">
    <w:abstractNumId w:val="11"/>
  </w:num>
  <w:num w:numId="18">
    <w:abstractNumId w:val="12"/>
  </w:num>
  <w:num w:numId="19">
    <w:abstractNumId w:val="14"/>
  </w:num>
  <w:num w:numId="20">
    <w:abstractNumId w:val="19"/>
  </w:num>
  <w:num w:numId="21">
    <w:abstractNumId w:val="4"/>
  </w:num>
  <w:num w:numId="22">
    <w:abstractNumId w:val="2"/>
  </w:num>
  <w:num w:numId="2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CA6"/>
    <w:rsid w:val="00167FDC"/>
    <w:rsid w:val="001703F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7EF"/>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45"/>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2A0E"/>
    <w:rsid w:val="00953557"/>
    <w:rsid w:val="00954DB9"/>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05461-76E6-4DAC-8EBD-C28CC232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1099</Words>
  <Characters>6047</Characters>
  <Application>Microsoft Office Word</Application>
  <DocSecurity>0</DocSecurity>
  <Lines>50</Lines>
  <Paragraphs>14</Paragraphs>
  <ScaleCrop>false</ScaleCrop>
  <HeadingPairs>
    <vt:vector size="6" baseType="variant">
      <vt:variant>
        <vt:lpstr>Título</vt:lpstr>
      </vt:variant>
      <vt:variant>
        <vt:i4>1</vt:i4>
      </vt:variant>
      <vt:variant>
        <vt:lpstr>Títulos</vt:lpstr>
      </vt:variant>
      <vt:variant>
        <vt:i4>6</vt:i4>
      </vt:variant>
      <vt:variant>
        <vt:lpstr>Title</vt:lpstr>
      </vt:variant>
      <vt:variant>
        <vt:i4>1</vt:i4>
      </vt:variant>
    </vt:vector>
  </HeadingPairs>
  <TitlesOfParts>
    <vt:vector size="8" baseType="lpstr">
      <vt:lpstr/>
      <vt:lpstr>        Debido al cambio de la administración rectoral de la UABC y que algunos de los d</vt:lpstr>
      <vt:lpstr>        En el Consejo Universitario se llevó a cabo la designación de los jueces titular</vt:lpstr>
      <vt:lpstr>        En el Tribunal Universitario del Campus Mexicali, se designó como Juez Titular a</vt:lpstr>
      <vt:lpstr>        En otros puntos del orden del día, se turnó a la Comisión Permanente de Asuntos </vt:lpstr>
      <vt:lpstr>        </vt:lpstr>
      <vt:lpstr>        Se turnó a la misma Comisión, la propuesta de modificación del plan de estudios </vt:lpstr>
      <vt:lpstr/>
    </vt:vector>
  </TitlesOfParts>
  <Company>Microsoft</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25</cp:revision>
  <cp:lastPrinted>2019-02-23T03:03:00Z</cp:lastPrinted>
  <dcterms:created xsi:type="dcterms:W3CDTF">2019-02-21T00:50:00Z</dcterms:created>
  <dcterms:modified xsi:type="dcterms:W3CDTF">2019-02-23T03:29:00Z</dcterms:modified>
</cp:coreProperties>
</file>