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77558D">
        <w:rPr>
          <w:rFonts w:ascii="Arial" w:hAnsi="Arial" w:cs="Arial"/>
          <w:b/>
          <w:sz w:val="24"/>
          <w:szCs w:val="24"/>
        </w:rPr>
        <w:t>4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0771BF" w:rsidRDefault="00532EF1" w:rsidP="006339E1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DF6ADC" w:rsidRDefault="00103B79" w:rsidP="006339E1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Absuelve Tribunal Unitario Agrario </w:t>
      </w:r>
      <w:r w:rsidR="00DF6ADC">
        <w:rPr>
          <w:rFonts w:ascii="Arial" w:hAnsi="Arial" w:cs="Arial"/>
          <w:b/>
          <w:sz w:val="36"/>
        </w:rPr>
        <w:t xml:space="preserve">a UABC </w:t>
      </w:r>
    </w:p>
    <w:p w:rsidR="006339E1" w:rsidRDefault="00DF6ADC" w:rsidP="006339E1">
      <w:pPr>
        <w:jc w:val="center"/>
        <w:rPr>
          <w:rFonts w:ascii="Arial" w:hAnsi="Arial" w:cs="Arial"/>
          <w:b/>
          <w:sz w:val="36"/>
        </w:rPr>
      </w:pPr>
      <w:proofErr w:type="gramStart"/>
      <w:r>
        <w:rPr>
          <w:rFonts w:ascii="Arial" w:hAnsi="Arial" w:cs="Arial"/>
          <w:b/>
          <w:sz w:val="36"/>
        </w:rPr>
        <w:t>en</w:t>
      </w:r>
      <w:proofErr w:type="gramEnd"/>
      <w:r>
        <w:rPr>
          <w:rFonts w:ascii="Arial" w:hAnsi="Arial" w:cs="Arial"/>
          <w:b/>
          <w:sz w:val="36"/>
        </w:rPr>
        <w:t xml:space="preserve"> demanda por parcela 44</w:t>
      </w:r>
    </w:p>
    <w:p w:rsidR="006339E1" w:rsidRPr="006339E1" w:rsidRDefault="006339E1" w:rsidP="006339E1">
      <w:pPr>
        <w:jc w:val="center"/>
        <w:rPr>
          <w:rFonts w:ascii="Arial" w:hAnsi="Arial" w:cs="Arial"/>
          <w:b/>
          <w:sz w:val="16"/>
          <w:szCs w:val="16"/>
        </w:rPr>
      </w:pPr>
    </w:p>
    <w:p w:rsidR="006339E1" w:rsidRPr="003D299F" w:rsidRDefault="003D299F" w:rsidP="003D299F">
      <w:pPr>
        <w:pStyle w:val="Prrafodelista"/>
        <w:numPr>
          <w:ilvl w:val="0"/>
          <w:numId w:val="35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Cs/>
        </w:rPr>
        <w:t xml:space="preserve">El ejido </w:t>
      </w:r>
      <w:r w:rsidRPr="00103B79">
        <w:rPr>
          <w:rFonts w:ascii="Arial" w:hAnsi="Arial" w:cs="Arial"/>
          <w:bCs/>
          <w:sz w:val="24"/>
        </w:rPr>
        <w:t>Coahuila no acreditó la propiedad de la superficie reclamada</w:t>
      </w:r>
      <w:r>
        <w:rPr>
          <w:rFonts w:ascii="Arial" w:hAnsi="Arial" w:cs="Arial"/>
          <w:bCs/>
          <w:sz w:val="24"/>
        </w:rPr>
        <w:t>.</w:t>
      </w:r>
    </w:p>
    <w:p w:rsidR="003D299F" w:rsidRPr="00E36D8D" w:rsidRDefault="003D299F" w:rsidP="003D299F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</w:p>
    <w:p w:rsidR="005E4B7B" w:rsidRDefault="006339E1" w:rsidP="005E4B7B">
      <w:pPr>
        <w:autoSpaceDN/>
        <w:jc w:val="both"/>
        <w:rPr>
          <w:rFonts w:ascii="Arial" w:hAnsi="Arial" w:cs="Arial"/>
          <w:bCs/>
          <w:sz w:val="24"/>
        </w:rPr>
      </w:pPr>
      <w:r w:rsidRPr="00A644B0">
        <w:rPr>
          <w:rFonts w:ascii="Arial" w:hAnsi="Arial" w:cs="Arial"/>
          <w:b/>
          <w:sz w:val="24"/>
        </w:rPr>
        <w:t>Mexicali,</w:t>
      </w:r>
      <w:r>
        <w:rPr>
          <w:rFonts w:ascii="Arial" w:hAnsi="Arial" w:cs="Arial"/>
          <w:b/>
          <w:sz w:val="24"/>
        </w:rPr>
        <w:t xml:space="preserve"> B.C., </w:t>
      </w:r>
      <w:r w:rsidR="005E4B7B">
        <w:rPr>
          <w:rFonts w:ascii="Arial" w:hAnsi="Arial" w:cs="Arial"/>
          <w:b/>
          <w:sz w:val="24"/>
        </w:rPr>
        <w:t xml:space="preserve">lunes 25 </w:t>
      </w:r>
      <w:r w:rsidRPr="00A644B0">
        <w:rPr>
          <w:rFonts w:ascii="Arial" w:hAnsi="Arial" w:cs="Arial"/>
          <w:b/>
          <w:sz w:val="24"/>
        </w:rPr>
        <w:t xml:space="preserve">de marzo de 2019.- </w:t>
      </w:r>
      <w:r w:rsidR="005E4B7B" w:rsidRPr="005E4B7B">
        <w:rPr>
          <w:rFonts w:ascii="Arial" w:hAnsi="Arial" w:cs="Arial"/>
          <w:sz w:val="24"/>
        </w:rPr>
        <w:t>El Tribunal Uni</w:t>
      </w:r>
      <w:r w:rsidR="005E4B7B">
        <w:rPr>
          <w:rFonts w:ascii="Arial" w:hAnsi="Arial" w:cs="Arial"/>
          <w:sz w:val="24"/>
        </w:rPr>
        <w:t xml:space="preserve">tario Agrario Distrito II correspondiente a Mexicali, absolvió a la Universidad </w:t>
      </w:r>
      <w:r w:rsidR="005E4B7B" w:rsidRPr="00103B79">
        <w:rPr>
          <w:rFonts w:ascii="Arial" w:hAnsi="Arial" w:cs="Arial"/>
          <w:bCs/>
          <w:sz w:val="24"/>
        </w:rPr>
        <w:t>Autónoma de Baja California</w:t>
      </w:r>
      <w:r w:rsidR="005E4B7B">
        <w:rPr>
          <w:rFonts w:ascii="Arial" w:hAnsi="Arial" w:cs="Arial"/>
          <w:bCs/>
          <w:sz w:val="24"/>
        </w:rPr>
        <w:t xml:space="preserve"> (UABC)</w:t>
      </w:r>
      <w:r w:rsidR="005E4B7B" w:rsidRPr="00103B79">
        <w:rPr>
          <w:rFonts w:ascii="Arial" w:hAnsi="Arial" w:cs="Arial"/>
          <w:b/>
          <w:bCs/>
          <w:sz w:val="24"/>
        </w:rPr>
        <w:t xml:space="preserve"> </w:t>
      </w:r>
      <w:r w:rsidR="005E4B7B" w:rsidRPr="00103B79">
        <w:rPr>
          <w:rFonts w:ascii="Arial" w:hAnsi="Arial" w:cs="Arial"/>
          <w:bCs/>
          <w:sz w:val="24"/>
        </w:rPr>
        <w:t>de las prestaciones r</w:t>
      </w:r>
      <w:r w:rsidR="005E4B7B">
        <w:rPr>
          <w:rFonts w:ascii="Arial" w:hAnsi="Arial" w:cs="Arial"/>
          <w:bCs/>
          <w:sz w:val="24"/>
        </w:rPr>
        <w:t>eclamadas por el ejido Coahuila en el juicio agrario reclamando la restitución de la parcela 44, donde actualmente se ubican las unidades universitarias Mexicali I y Mexicali II, ubicadas en el bulevar Benito Juárez.</w:t>
      </w:r>
    </w:p>
    <w:p w:rsidR="005E4B7B" w:rsidRDefault="005E4B7B" w:rsidP="005E4B7B">
      <w:pPr>
        <w:autoSpaceDN/>
        <w:jc w:val="both"/>
        <w:rPr>
          <w:rFonts w:ascii="Arial" w:hAnsi="Arial" w:cs="Arial"/>
          <w:bCs/>
          <w:sz w:val="24"/>
        </w:rPr>
      </w:pPr>
    </w:p>
    <w:p w:rsidR="005C16A5" w:rsidRDefault="005E4B7B" w:rsidP="005E4B7B">
      <w:pPr>
        <w:autoSpaceDN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El Abogado General de la UABC, maestro David Álvarez García, señaló que en 1</w:t>
      </w:r>
      <w:r w:rsidR="00505ECB">
        <w:rPr>
          <w:rFonts w:ascii="Arial" w:hAnsi="Arial" w:cs="Arial"/>
          <w:bCs/>
          <w:sz w:val="24"/>
        </w:rPr>
        <w:t>969</w:t>
      </w:r>
      <w:r>
        <w:rPr>
          <w:rFonts w:ascii="Arial" w:hAnsi="Arial" w:cs="Arial"/>
          <w:bCs/>
          <w:sz w:val="24"/>
        </w:rPr>
        <w:t xml:space="preserve"> </w:t>
      </w:r>
      <w:r w:rsidR="00505ECB" w:rsidRPr="00505ECB">
        <w:rPr>
          <w:rFonts w:ascii="Arial" w:hAnsi="Arial" w:cs="Arial"/>
          <w:bCs/>
          <w:sz w:val="24"/>
        </w:rPr>
        <w:t>se otorg</w:t>
      </w:r>
      <w:r w:rsidR="00505ECB">
        <w:rPr>
          <w:rFonts w:ascii="Arial" w:hAnsi="Arial" w:cs="Arial"/>
          <w:bCs/>
          <w:sz w:val="24"/>
        </w:rPr>
        <w:t>ó la</w:t>
      </w:r>
      <w:r w:rsidR="00505ECB" w:rsidRPr="00505ECB">
        <w:rPr>
          <w:rFonts w:ascii="Arial" w:hAnsi="Arial" w:cs="Arial"/>
          <w:bCs/>
          <w:sz w:val="24"/>
        </w:rPr>
        <w:t xml:space="preserve"> posesión provisional de</w:t>
      </w:r>
      <w:r w:rsidR="00505ECB">
        <w:rPr>
          <w:rFonts w:ascii="Arial" w:hAnsi="Arial" w:cs="Arial"/>
          <w:bCs/>
          <w:sz w:val="24"/>
        </w:rPr>
        <w:t xml:space="preserve"> dicho terreno </w:t>
      </w:r>
      <w:r w:rsidR="00505ECB" w:rsidRPr="00505ECB">
        <w:rPr>
          <w:rFonts w:ascii="Arial" w:hAnsi="Arial" w:cs="Arial"/>
          <w:bCs/>
          <w:sz w:val="24"/>
        </w:rPr>
        <w:t>a la UABC, con la conformidad expresa tanto de autoridades agrarias como del ejido de referencia.</w:t>
      </w:r>
      <w:r w:rsidR="00505ECB">
        <w:rPr>
          <w:rFonts w:ascii="Arial" w:hAnsi="Arial" w:cs="Arial"/>
          <w:bCs/>
          <w:sz w:val="24"/>
        </w:rPr>
        <w:t xml:space="preserve"> </w:t>
      </w:r>
      <w:r w:rsidR="005C16A5">
        <w:rPr>
          <w:rFonts w:ascii="Arial" w:hAnsi="Arial" w:cs="Arial"/>
          <w:bCs/>
          <w:sz w:val="24"/>
        </w:rPr>
        <w:t xml:space="preserve">Para compensar </w:t>
      </w:r>
      <w:r w:rsidR="00505ECB" w:rsidRPr="00505ECB">
        <w:rPr>
          <w:rFonts w:ascii="Arial" w:hAnsi="Arial" w:cs="Arial"/>
          <w:bCs/>
          <w:sz w:val="24"/>
        </w:rPr>
        <w:t xml:space="preserve">las parcelas ocupadas, </w:t>
      </w:r>
      <w:r w:rsidR="005C16A5">
        <w:rPr>
          <w:rFonts w:ascii="Arial" w:hAnsi="Arial" w:cs="Arial"/>
          <w:bCs/>
          <w:sz w:val="24"/>
        </w:rPr>
        <w:t xml:space="preserve">en 1971 el Gobierno del Estado </w:t>
      </w:r>
      <w:r w:rsidR="005C16A5" w:rsidRPr="00505ECB">
        <w:rPr>
          <w:rFonts w:ascii="Arial" w:hAnsi="Arial" w:cs="Arial"/>
          <w:bCs/>
          <w:sz w:val="24"/>
        </w:rPr>
        <w:t>pagó con los lotes 25, 26 y 27 de la Colonia Villareal y su respe</w:t>
      </w:r>
      <w:r w:rsidR="005C16A5">
        <w:rPr>
          <w:rFonts w:ascii="Arial" w:hAnsi="Arial" w:cs="Arial"/>
          <w:bCs/>
          <w:sz w:val="24"/>
        </w:rPr>
        <w:t xml:space="preserve">ctivo derecho de riego, </w:t>
      </w:r>
      <w:r w:rsidR="00505ECB" w:rsidRPr="00505ECB">
        <w:rPr>
          <w:rFonts w:ascii="Arial" w:hAnsi="Arial" w:cs="Arial"/>
          <w:bCs/>
          <w:sz w:val="24"/>
        </w:rPr>
        <w:t>acto que fue acordado favorablemente por la asamblea</w:t>
      </w:r>
      <w:r w:rsidR="00505ECB">
        <w:rPr>
          <w:rFonts w:ascii="Arial" w:hAnsi="Arial" w:cs="Arial"/>
          <w:bCs/>
          <w:sz w:val="24"/>
        </w:rPr>
        <w:t xml:space="preserve"> ejidal, así como por</w:t>
      </w:r>
      <w:r w:rsidR="00505ECB" w:rsidRPr="00505ECB">
        <w:rPr>
          <w:rFonts w:ascii="Arial" w:hAnsi="Arial" w:cs="Arial"/>
          <w:bCs/>
          <w:sz w:val="24"/>
        </w:rPr>
        <w:t xml:space="preserve"> </w:t>
      </w:r>
      <w:r w:rsidR="00505ECB">
        <w:rPr>
          <w:rFonts w:ascii="Arial" w:hAnsi="Arial" w:cs="Arial"/>
          <w:bCs/>
          <w:sz w:val="24"/>
        </w:rPr>
        <w:t xml:space="preserve">el ejidatario propietario, </w:t>
      </w:r>
      <w:r w:rsidR="00505ECB" w:rsidRPr="00505ECB">
        <w:rPr>
          <w:rFonts w:ascii="Arial" w:hAnsi="Arial" w:cs="Arial"/>
          <w:bCs/>
          <w:sz w:val="24"/>
        </w:rPr>
        <w:t>quien aceptó voluntariamente la permuta</w:t>
      </w:r>
      <w:r w:rsidR="005C16A5">
        <w:rPr>
          <w:rFonts w:ascii="Arial" w:hAnsi="Arial" w:cs="Arial"/>
          <w:bCs/>
          <w:sz w:val="24"/>
        </w:rPr>
        <w:t>.</w:t>
      </w:r>
    </w:p>
    <w:p w:rsidR="005C16A5" w:rsidRDefault="005C16A5" w:rsidP="005E4B7B">
      <w:pPr>
        <w:autoSpaceDN/>
        <w:jc w:val="both"/>
        <w:rPr>
          <w:rFonts w:ascii="Arial" w:hAnsi="Arial" w:cs="Arial"/>
          <w:bCs/>
          <w:sz w:val="24"/>
        </w:rPr>
      </w:pPr>
    </w:p>
    <w:p w:rsidR="00103B79" w:rsidRPr="00103B79" w:rsidRDefault="00103B79" w:rsidP="00103B79">
      <w:pPr>
        <w:jc w:val="both"/>
        <w:rPr>
          <w:rFonts w:ascii="Arial" w:hAnsi="Arial" w:cs="Arial"/>
          <w:bCs/>
          <w:sz w:val="24"/>
        </w:rPr>
      </w:pPr>
      <w:r w:rsidRPr="00103B79">
        <w:rPr>
          <w:rFonts w:ascii="Arial" w:hAnsi="Arial" w:cs="Arial"/>
          <w:bCs/>
          <w:sz w:val="24"/>
        </w:rPr>
        <w:t xml:space="preserve">Las partes dispusieron de los bienes entregados recíprocamente, sin </w:t>
      </w:r>
      <w:r w:rsidR="00AB3A30">
        <w:rPr>
          <w:rFonts w:ascii="Arial" w:hAnsi="Arial" w:cs="Arial"/>
          <w:bCs/>
          <w:sz w:val="24"/>
        </w:rPr>
        <w:t>inconformidad alguna</w:t>
      </w:r>
      <w:r w:rsidRPr="00103B79">
        <w:rPr>
          <w:rFonts w:ascii="Arial" w:hAnsi="Arial" w:cs="Arial"/>
          <w:bCs/>
          <w:sz w:val="24"/>
        </w:rPr>
        <w:t xml:space="preserve"> hasta 1997, año en el que el ejido “Coahuila”, demanda la restitución del predio que voluntariamente entregó a la UABC, iniciando así, el Juicio Agrario 133/1997</w:t>
      </w:r>
      <w:r w:rsidR="00AB3A30">
        <w:rPr>
          <w:rFonts w:ascii="Arial" w:hAnsi="Arial" w:cs="Arial"/>
          <w:bCs/>
          <w:sz w:val="24"/>
        </w:rPr>
        <w:t>.</w:t>
      </w:r>
    </w:p>
    <w:p w:rsidR="0072161A" w:rsidRDefault="0072161A" w:rsidP="00103B79">
      <w:pPr>
        <w:pStyle w:val="NormalWeb"/>
        <w:spacing w:before="0" w:after="0"/>
        <w:jc w:val="both"/>
        <w:rPr>
          <w:rFonts w:ascii="Arial" w:hAnsi="Arial" w:cs="Arial"/>
          <w:b/>
          <w:spacing w:val="-4"/>
          <w:sz w:val="28"/>
          <w:lang w:val="es-ES_tradnl"/>
        </w:rPr>
      </w:pPr>
    </w:p>
    <w:p w:rsidR="00C44570" w:rsidRDefault="00D716B3" w:rsidP="00C44570">
      <w:pPr>
        <w:pStyle w:val="NormalWeb"/>
        <w:spacing w:before="0" w:after="0"/>
        <w:jc w:val="both"/>
        <w:rPr>
          <w:rFonts w:ascii="Arial" w:hAnsi="Arial" w:cs="Arial"/>
          <w:bCs/>
          <w:lang w:val="es-MX"/>
        </w:rPr>
      </w:pPr>
      <w:r w:rsidRPr="00D716B3">
        <w:rPr>
          <w:rFonts w:ascii="Arial" w:hAnsi="Arial" w:cs="Arial"/>
          <w:spacing w:val="-4"/>
          <w:lang w:val="es-ES_tradnl"/>
        </w:rPr>
        <w:t xml:space="preserve">El maestro </w:t>
      </w:r>
      <w:r>
        <w:rPr>
          <w:rFonts w:ascii="Arial" w:hAnsi="Arial" w:cs="Arial"/>
          <w:spacing w:val="-4"/>
          <w:lang w:val="es-ES_tradnl"/>
        </w:rPr>
        <w:t xml:space="preserve">Álvarez García señaló que </w:t>
      </w:r>
      <w:r w:rsidR="00C44570">
        <w:rPr>
          <w:rFonts w:ascii="Arial" w:hAnsi="Arial" w:cs="Arial"/>
          <w:spacing w:val="-4"/>
          <w:lang w:val="es-ES_tradnl"/>
        </w:rPr>
        <w:t xml:space="preserve">el pasado 20 de marzo, el Magistrado del Tribunal Unitario Agrario Distrito II, </w:t>
      </w:r>
      <w:r w:rsidR="00103B79" w:rsidRPr="00103B79">
        <w:rPr>
          <w:rFonts w:ascii="Arial" w:hAnsi="Arial" w:cs="Arial"/>
          <w:bCs/>
          <w:lang w:val="es-MX"/>
        </w:rPr>
        <w:t>una vez que analizó el contenido de argumentos de las partes y realizó la valoración de las pruebas aportadas por los contendientes, resolvió</w:t>
      </w:r>
      <w:r w:rsidR="00C44570">
        <w:rPr>
          <w:rFonts w:ascii="Arial" w:hAnsi="Arial" w:cs="Arial"/>
          <w:bCs/>
          <w:lang w:val="es-MX"/>
        </w:rPr>
        <w:t xml:space="preserve"> que el ejido </w:t>
      </w:r>
      <w:r w:rsidR="00103B79" w:rsidRPr="00103B79">
        <w:rPr>
          <w:rFonts w:ascii="Arial" w:hAnsi="Arial" w:cs="Arial"/>
          <w:bCs/>
          <w:lang w:val="es-MX"/>
        </w:rPr>
        <w:t xml:space="preserve">Coahuila no acreditó la propiedad de la superficie reclamada conocida como parcela 44, por lo que declaró </w:t>
      </w:r>
      <w:r w:rsidR="008A6168">
        <w:rPr>
          <w:rFonts w:ascii="Arial" w:hAnsi="Arial" w:cs="Arial"/>
          <w:bCs/>
          <w:lang w:val="es-MX"/>
        </w:rPr>
        <w:t>“</w:t>
      </w:r>
      <w:r w:rsidR="00103B79" w:rsidRPr="00103B79">
        <w:rPr>
          <w:rFonts w:ascii="Arial" w:hAnsi="Arial" w:cs="Arial"/>
          <w:bCs/>
          <w:lang w:val="es-MX"/>
        </w:rPr>
        <w:t>procedentes y fundadas las excepciones de falta de acción y derecho de la parte actora, para demandar la restitución de</w:t>
      </w:r>
      <w:r w:rsidR="00C44570">
        <w:rPr>
          <w:rFonts w:ascii="Arial" w:hAnsi="Arial" w:cs="Arial"/>
          <w:bCs/>
          <w:lang w:val="es-MX"/>
        </w:rPr>
        <w:t>l terreno</w:t>
      </w:r>
      <w:r w:rsidR="008A6168">
        <w:rPr>
          <w:rFonts w:ascii="Arial" w:hAnsi="Arial" w:cs="Arial"/>
          <w:bCs/>
          <w:lang w:val="es-MX"/>
        </w:rPr>
        <w:t>”</w:t>
      </w:r>
      <w:r w:rsidR="00C44570">
        <w:rPr>
          <w:rFonts w:ascii="Arial" w:hAnsi="Arial" w:cs="Arial"/>
          <w:bCs/>
          <w:lang w:val="es-MX"/>
        </w:rPr>
        <w:t>.</w:t>
      </w:r>
    </w:p>
    <w:p w:rsidR="00C44570" w:rsidRDefault="00C44570" w:rsidP="00C44570">
      <w:pPr>
        <w:pStyle w:val="NormalWeb"/>
        <w:spacing w:before="0" w:after="0"/>
        <w:jc w:val="both"/>
        <w:rPr>
          <w:rFonts w:ascii="Arial" w:hAnsi="Arial" w:cs="Arial"/>
          <w:bCs/>
          <w:lang w:val="es-MX"/>
        </w:rPr>
      </w:pPr>
    </w:p>
    <w:p w:rsidR="005E4B7B" w:rsidRPr="005E4B7B" w:rsidRDefault="00901DE9" w:rsidP="00901DE9">
      <w:pPr>
        <w:autoSpaceDN/>
        <w:jc w:val="both"/>
        <w:rPr>
          <w:rFonts w:ascii="Arial" w:hAnsi="Arial" w:cs="Arial"/>
          <w:sz w:val="23"/>
          <w:szCs w:val="23"/>
        </w:rPr>
      </w:pPr>
      <w:r w:rsidRPr="005D69B1">
        <w:rPr>
          <w:rFonts w:ascii="Arial" w:hAnsi="Arial" w:cs="Arial"/>
          <w:sz w:val="24"/>
          <w:szCs w:val="24"/>
          <w:bdr w:val="none" w:sz="0" w:space="0" w:color="auto" w:frame="1"/>
        </w:rPr>
        <w:t xml:space="preserve">“Esta resolución sienta las bases </w:t>
      </w:r>
      <w:r w:rsidR="005E4B7B" w:rsidRPr="005E4B7B">
        <w:rPr>
          <w:rFonts w:ascii="Arial" w:hAnsi="Arial" w:cs="Arial"/>
          <w:sz w:val="24"/>
          <w:szCs w:val="24"/>
          <w:bdr w:val="none" w:sz="0" w:space="0" w:color="auto" w:frame="1"/>
        </w:rPr>
        <w:t>para darle mayor certidumbre a la UABC en el caso de la propiedad de los terrenos</w:t>
      </w:r>
      <w:r w:rsidR="006D2076" w:rsidRPr="005D69B1">
        <w:rPr>
          <w:rFonts w:ascii="Arial" w:hAnsi="Arial" w:cs="Arial"/>
          <w:sz w:val="24"/>
          <w:szCs w:val="24"/>
          <w:bdr w:val="none" w:sz="0" w:space="0" w:color="auto" w:frame="1"/>
        </w:rPr>
        <w:t xml:space="preserve">” manifestó el Abogado General y agregó que se buscará el mecanismo </w:t>
      </w:r>
      <w:bookmarkStart w:id="0" w:name="_GoBack"/>
      <w:bookmarkEnd w:id="0"/>
      <w:r w:rsidR="006D2076" w:rsidRPr="005D69B1">
        <w:rPr>
          <w:rFonts w:ascii="Arial" w:hAnsi="Arial" w:cs="Arial"/>
          <w:sz w:val="24"/>
          <w:szCs w:val="24"/>
          <w:bdr w:val="none" w:sz="0" w:space="0" w:color="auto" w:frame="1"/>
        </w:rPr>
        <w:t xml:space="preserve">idóneo para la regularización y espera </w:t>
      </w:r>
      <w:r w:rsidR="005610D3">
        <w:rPr>
          <w:rFonts w:ascii="Arial" w:hAnsi="Arial" w:cs="Arial"/>
          <w:sz w:val="24"/>
          <w:szCs w:val="24"/>
          <w:bdr w:val="none" w:sz="0" w:space="0" w:color="auto" w:frame="1"/>
        </w:rPr>
        <w:t xml:space="preserve">que </w:t>
      </w:r>
      <w:r w:rsidR="006D2076" w:rsidRPr="005D69B1">
        <w:rPr>
          <w:rFonts w:ascii="Arial" w:hAnsi="Arial" w:cs="Arial"/>
          <w:sz w:val="24"/>
          <w:szCs w:val="24"/>
          <w:bdr w:val="none" w:sz="0" w:space="0" w:color="auto" w:frame="1"/>
        </w:rPr>
        <w:t xml:space="preserve">se </w:t>
      </w:r>
      <w:r w:rsidR="005D69B1">
        <w:rPr>
          <w:rFonts w:ascii="Arial" w:hAnsi="Arial" w:cs="Arial"/>
          <w:sz w:val="24"/>
          <w:szCs w:val="24"/>
          <w:bdr w:val="none" w:sz="0" w:space="0" w:color="auto" w:frame="1"/>
        </w:rPr>
        <w:t>dé una resolución definitiva</w:t>
      </w:r>
      <w:r w:rsidR="006D2076" w:rsidRPr="005D69B1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dentro de ocho o diez meses. </w:t>
      </w:r>
    </w:p>
    <w:p w:rsidR="005E4B7B" w:rsidRDefault="005E4B7B" w:rsidP="00901DE9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  <w:r w:rsidRPr="005E4B7B"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  <w:br/>
      </w:r>
    </w:p>
    <w:p w:rsidR="006E21FB" w:rsidRDefault="006E21FB" w:rsidP="00901DE9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p w:rsidR="006E21FB" w:rsidRDefault="006E21FB" w:rsidP="00901DE9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p w:rsidR="006E21FB" w:rsidRDefault="006E21FB" w:rsidP="00901DE9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p w:rsidR="006E21FB" w:rsidRDefault="006E21FB" w:rsidP="00901DE9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p w:rsidR="006E21FB" w:rsidRDefault="006E21FB" w:rsidP="00901DE9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p w:rsidR="006E21FB" w:rsidRPr="006E21FB" w:rsidRDefault="006E21FB" w:rsidP="00901DE9">
      <w:pPr>
        <w:autoSpaceDN/>
        <w:jc w:val="both"/>
        <w:rPr>
          <w:rFonts w:ascii="Arial" w:hAnsi="Arial" w:cs="Arial"/>
          <w:color w:val="FFFFFF" w:themeColor="background1"/>
          <w:sz w:val="23"/>
          <w:szCs w:val="23"/>
        </w:rPr>
      </w:pPr>
      <w:r w:rsidRPr="006E21FB">
        <w:rPr>
          <w:rFonts w:ascii="Arial" w:hAnsi="Arial" w:cs="Arial"/>
          <w:color w:val="FFFFFF" w:themeColor="background1"/>
          <w:sz w:val="23"/>
          <w:szCs w:val="23"/>
        </w:rPr>
        <w:t>Redacción y fotos: Angélica Gómez</w:t>
      </w:r>
    </w:p>
    <w:p w:rsidR="00B06BD9" w:rsidRPr="005E4B7B" w:rsidRDefault="00B06BD9" w:rsidP="00B06BD9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sectPr w:rsidR="00B06BD9" w:rsidRPr="005E4B7B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424" w:rsidRDefault="008F2424">
      <w:r>
        <w:separator/>
      </w:r>
    </w:p>
  </w:endnote>
  <w:endnote w:type="continuationSeparator" w:id="0">
    <w:p w:rsidR="008F2424" w:rsidRDefault="008F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424" w:rsidRDefault="008F2424">
      <w:r>
        <w:rPr>
          <w:color w:val="000000"/>
        </w:rPr>
        <w:separator/>
      </w:r>
    </w:p>
  </w:footnote>
  <w:footnote w:type="continuationSeparator" w:id="0">
    <w:p w:rsidR="008F2424" w:rsidRDefault="008F2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4528C"/>
    <w:multiLevelType w:val="hybridMultilevel"/>
    <w:tmpl w:val="FF98151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A43847"/>
    <w:multiLevelType w:val="hybridMultilevel"/>
    <w:tmpl w:val="98C2BD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2"/>
  </w:num>
  <w:num w:numId="4">
    <w:abstractNumId w:val="18"/>
  </w:num>
  <w:num w:numId="5">
    <w:abstractNumId w:val="9"/>
  </w:num>
  <w:num w:numId="6">
    <w:abstractNumId w:val="8"/>
  </w:num>
  <w:num w:numId="7">
    <w:abstractNumId w:val="8"/>
  </w:num>
  <w:num w:numId="8">
    <w:abstractNumId w:val="10"/>
  </w:num>
  <w:num w:numId="9">
    <w:abstractNumId w:val="1"/>
  </w:num>
  <w:num w:numId="10">
    <w:abstractNumId w:val="14"/>
  </w:num>
  <w:num w:numId="11">
    <w:abstractNumId w:val="29"/>
  </w:num>
  <w:num w:numId="12">
    <w:abstractNumId w:val="30"/>
  </w:num>
  <w:num w:numId="13">
    <w:abstractNumId w:val="5"/>
  </w:num>
  <w:num w:numId="14">
    <w:abstractNumId w:val="7"/>
  </w:num>
  <w:num w:numId="15">
    <w:abstractNumId w:val="0"/>
  </w:num>
  <w:num w:numId="16">
    <w:abstractNumId w:val="32"/>
  </w:num>
  <w:num w:numId="17">
    <w:abstractNumId w:val="19"/>
  </w:num>
  <w:num w:numId="18">
    <w:abstractNumId w:val="21"/>
  </w:num>
  <w:num w:numId="19">
    <w:abstractNumId w:val="24"/>
  </w:num>
  <w:num w:numId="20">
    <w:abstractNumId w:val="31"/>
  </w:num>
  <w:num w:numId="21">
    <w:abstractNumId w:val="6"/>
  </w:num>
  <w:num w:numId="22">
    <w:abstractNumId w:val="4"/>
  </w:num>
  <w:num w:numId="23">
    <w:abstractNumId w:val="4"/>
  </w:num>
  <w:num w:numId="24">
    <w:abstractNumId w:val="11"/>
  </w:num>
  <w:num w:numId="25">
    <w:abstractNumId w:val="2"/>
  </w:num>
  <w:num w:numId="26">
    <w:abstractNumId w:val="26"/>
  </w:num>
  <w:num w:numId="27">
    <w:abstractNumId w:val="23"/>
  </w:num>
  <w:num w:numId="28">
    <w:abstractNumId w:val="17"/>
  </w:num>
  <w:num w:numId="29">
    <w:abstractNumId w:val="15"/>
  </w:num>
  <w:num w:numId="30">
    <w:abstractNumId w:val="20"/>
  </w:num>
  <w:num w:numId="31">
    <w:abstractNumId w:val="3"/>
  </w:num>
  <w:num w:numId="32">
    <w:abstractNumId w:val="13"/>
  </w:num>
  <w:num w:numId="33">
    <w:abstractNumId w:val="12"/>
  </w:num>
  <w:num w:numId="34">
    <w:abstractNumId w:val="28"/>
  </w:num>
  <w:num w:numId="35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3B79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40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428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99F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5EC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0D3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6A5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9B1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4B7B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076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1FB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58D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6168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24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E9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855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3A30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2CC7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570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6B3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ADC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2A21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1D4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E748-DF11-4A7A-B0E2-7D2ED4136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363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2019-03-19T22:53:00Z</cp:lastPrinted>
  <dcterms:created xsi:type="dcterms:W3CDTF">2019-03-25T22:58:00Z</dcterms:created>
  <dcterms:modified xsi:type="dcterms:W3CDTF">2019-03-26T18:17:00Z</dcterms:modified>
</cp:coreProperties>
</file>