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F03BD7">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1270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315489">
        <w:rPr>
          <w:rFonts w:ascii="Arial" w:hAnsi="Arial" w:cs="Arial"/>
          <w:b/>
          <w:sz w:val="24"/>
          <w:szCs w:val="24"/>
        </w:rPr>
        <w:t>0</w:t>
      </w:r>
      <w:r w:rsidR="00D77191">
        <w:rPr>
          <w:rFonts w:ascii="Arial" w:hAnsi="Arial" w:cs="Arial"/>
          <w:b/>
          <w:sz w:val="24"/>
          <w:szCs w:val="24"/>
        </w:rPr>
        <w:t>5</w:t>
      </w:r>
      <w:r w:rsidR="003B4CFD">
        <w:rPr>
          <w:rFonts w:ascii="Arial" w:hAnsi="Arial" w:cs="Arial"/>
          <w:b/>
          <w:sz w:val="24"/>
          <w:szCs w:val="24"/>
        </w:rPr>
        <w:t>/2019-</w:t>
      </w:r>
      <w:r w:rsidR="00315489">
        <w:rPr>
          <w:rFonts w:ascii="Arial" w:hAnsi="Arial" w:cs="Arial"/>
          <w:b/>
          <w:sz w:val="24"/>
          <w:szCs w:val="24"/>
        </w:rPr>
        <w:t>2</w:t>
      </w:r>
    </w:p>
    <w:p w:rsidR="00570B6F" w:rsidRPr="00570B6F" w:rsidRDefault="00570B6F" w:rsidP="00570B6F">
      <w:pPr>
        <w:shd w:val="clear" w:color="auto" w:fill="FFFFFF"/>
        <w:suppressAutoHyphens w:val="0"/>
        <w:autoSpaceDN/>
        <w:jc w:val="center"/>
        <w:textAlignment w:val="auto"/>
        <w:rPr>
          <w:color w:val="222222"/>
        </w:rPr>
      </w:pPr>
      <w:r w:rsidRPr="00570B6F">
        <w:rPr>
          <w:rFonts w:ascii="Arial" w:hAnsi="Arial" w:cs="Arial"/>
          <w:b/>
          <w:bCs/>
          <w:color w:val="222222"/>
          <w:sz w:val="36"/>
          <w:szCs w:val="36"/>
        </w:rPr>
        <w:t>Investigan cimarrones sobre el derecho humano al agua</w:t>
      </w:r>
    </w:p>
    <w:p w:rsidR="00570B6F" w:rsidRPr="00570B6F" w:rsidRDefault="00570B6F" w:rsidP="00570B6F">
      <w:pPr>
        <w:shd w:val="clear" w:color="auto" w:fill="FFFFFF"/>
        <w:suppressAutoHyphens w:val="0"/>
        <w:autoSpaceDN/>
        <w:jc w:val="both"/>
        <w:textAlignment w:val="auto"/>
        <w:rPr>
          <w:color w:val="222222"/>
        </w:rPr>
      </w:pPr>
      <w:r w:rsidRPr="00570B6F">
        <w:rPr>
          <w:rFonts w:ascii="Arial" w:hAnsi="Arial" w:cs="Arial"/>
          <w:color w:val="222222"/>
          <w:sz w:val="16"/>
          <w:szCs w:val="16"/>
        </w:rPr>
        <w:t> </w:t>
      </w:r>
    </w:p>
    <w:p w:rsidR="00570B6F" w:rsidRPr="00570B6F" w:rsidRDefault="00570B6F" w:rsidP="00570B6F">
      <w:pPr>
        <w:shd w:val="clear" w:color="auto" w:fill="FFFFFF"/>
        <w:suppressAutoHyphens w:val="0"/>
        <w:autoSpaceDN/>
        <w:jc w:val="both"/>
        <w:textAlignment w:val="auto"/>
        <w:rPr>
          <w:color w:val="222222"/>
        </w:rPr>
      </w:pPr>
      <w:r w:rsidRPr="00570B6F">
        <w:rPr>
          <w:rFonts w:ascii="Symbol" w:hAnsi="Symbol"/>
          <w:color w:val="222222"/>
          <w:sz w:val="24"/>
          <w:szCs w:val="24"/>
        </w:rPr>
        <w:t></w:t>
      </w:r>
      <w:r w:rsidRPr="00570B6F">
        <w:rPr>
          <w:rFonts w:ascii="Times New Roman" w:hAnsi="Times New Roman"/>
          <w:color w:val="222222"/>
          <w:sz w:val="14"/>
          <w:szCs w:val="14"/>
        </w:rPr>
        <w:t>        </w:t>
      </w:r>
      <w:r>
        <w:rPr>
          <w:rFonts w:ascii="Arial" w:hAnsi="Arial" w:cs="Arial"/>
          <w:color w:val="222222"/>
          <w:sz w:val="24"/>
          <w:szCs w:val="24"/>
        </w:rPr>
        <w:t>De</w:t>
      </w:r>
      <w:r w:rsidRPr="00570B6F">
        <w:rPr>
          <w:rFonts w:ascii="Arial" w:hAnsi="Arial" w:cs="Arial"/>
          <w:color w:val="222222"/>
          <w:sz w:val="24"/>
          <w:szCs w:val="24"/>
        </w:rPr>
        <w:t>be ser no solo suficiente, también salubre, accesible y asequible.</w:t>
      </w:r>
    </w:p>
    <w:p w:rsidR="00570B6F" w:rsidRPr="00570B6F" w:rsidRDefault="00570B6F" w:rsidP="00570B6F">
      <w:pPr>
        <w:shd w:val="clear" w:color="auto" w:fill="FFFFFF"/>
        <w:autoSpaceDN/>
        <w:jc w:val="both"/>
        <w:textAlignment w:val="auto"/>
        <w:rPr>
          <w:sz w:val="16"/>
          <w:szCs w:val="16"/>
        </w:rPr>
      </w:pPr>
      <w:bookmarkStart w:id="0" w:name="_GoBack"/>
      <w:r w:rsidRPr="00570B6F">
        <w:rPr>
          <w:rFonts w:ascii="Arial" w:hAnsi="Arial" w:cs="Arial"/>
          <w:b/>
          <w:bCs/>
          <w:sz w:val="16"/>
          <w:szCs w:val="16"/>
        </w:rPr>
        <w:t> </w:t>
      </w:r>
    </w:p>
    <w:bookmarkEnd w:id="0"/>
    <w:p w:rsidR="00570B6F" w:rsidRPr="00570B6F" w:rsidRDefault="00570B6F" w:rsidP="00570B6F">
      <w:pPr>
        <w:shd w:val="clear" w:color="auto" w:fill="FFFFFF"/>
        <w:autoSpaceDN/>
        <w:jc w:val="both"/>
        <w:textAlignment w:val="auto"/>
      </w:pPr>
      <w:r w:rsidRPr="00570B6F">
        <w:rPr>
          <w:rFonts w:ascii="Arial" w:hAnsi="Arial" w:cs="Arial"/>
          <w:b/>
          <w:bCs/>
          <w:sz w:val="24"/>
          <w:szCs w:val="24"/>
        </w:rPr>
        <w:t>Ensenada, B.C., lunes 15 de julio de 2019</w:t>
      </w:r>
      <w:r w:rsidRPr="00570B6F">
        <w:rPr>
          <w:rFonts w:ascii="Arial" w:hAnsi="Arial" w:cs="Arial"/>
          <w:sz w:val="24"/>
          <w:szCs w:val="24"/>
        </w:rPr>
        <w:t xml:space="preserve">.- El derecho humano al agua implica disponer de suficiente recurso, que sea además, salubre, aceptable,  accesible y asequible para el uso personal y doméstico. Sin embargo, no todas las personas tienen la misma capacidad de acceder al agua, lo cual motivó a la doctora Mariana Villada Canela, investigadora adscrita al Instituto de Investigaciones </w:t>
      </w:r>
      <w:proofErr w:type="spellStart"/>
      <w:r w:rsidRPr="00570B6F">
        <w:rPr>
          <w:rFonts w:ascii="Arial" w:hAnsi="Arial" w:cs="Arial"/>
          <w:sz w:val="24"/>
          <w:szCs w:val="24"/>
        </w:rPr>
        <w:t>Oceanológicas</w:t>
      </w:r>
      <w:proofErr w:type="spellEnd"/>
      <w:r w:rsidRPr="00570B6F">
        <w:rPr>
          <w:rFonts w:ascii="Arial" w:hAnsi="Arial" w:cs="Arial"/>
          <w:sz w:val="24"/>
          <w:szCs w:val="24"/>
        </w:rPr>
        <w:t xml:space="preserve"> (IIO) de la Universidad Autónoma de Baja California (UABC), Campus Ensenada, para realizar una investigación que abordara esta problemática.</w:t>
      </w:r>
    </w:p>
    <w:p w:rsidR="00570B6F" w:rsidRPr="00570B6F" w:rsidRDefault="00570B6F" w:rsidP="00570B6F">
      <w:pPr>
        <w:shd w:val="clear" w:color="auto" w:fill="FFFFFF"/>
        <w:autoSpaceDN/>
        <w:jc w:val="both"/>
        <w:textAlignment w:val="auto"/>
      </w:pPr>
      <w:r w:rsidRPr="00570B6F">
        <w:rPr>
          <w:rFonts w:ascii="Arial" w:hAnsi="Arial" w:cs="Arial"/>
          <w:sz w:val="12"/>
          <w:szCs w:val="12"/>
        </w:rPr>
        <w:t> </w:t>
      </w:r>
    </w:p>
    <w:p w:rsidR="00570B6F" w:rsidRPr="00570B6F" w:rsidRDefault="00570B6F" w:rsidP="00570B6F">
      <w:pPr>
        <w:shd w:val="clear" w:color="auto" w:fill="FFFFFF"/>
        <w:autoSpaceDN/>
        <w:jc w:val="both"/>
        <w:textAlignment w:val="auto"/>
      </w:pPr>
      <w:r w:rsidRPr="00570B6F">
        <w:rPr>
          <w:rFonts w:ascii="Arial" w:hAnsi="Arial" w:cs="Arial"/>
          <w:sz w:val="24"/>
          <w:szCs w:val="24"/>
        </w:rPr>
        <w:t xml:space="preserve">Durante dos años desarrolló el estudio “Implicaciones del derecho humano al agua en la gestión de recursos hídricos en Baja California”, en coordinación con Vanessa Elizabeth García </w:t>
      </w:r>
      <w:proofErr w:type="spellStart"/>
      <w:r w:rsidRPr="00570B6F">
        <w:rPr>
          <w:rFonts w:ascii="Arial" w:hAnsi="Arial" w:cs="Arial"/>
          <w:sz w:val="24"/>
          <w:szCs w:val="24"/>
        </w:rPr>
        <w:t>Searcy</w:t>
      </w:r>
      <w:proofErr w:type="spellEnd"/>
      <w:r w:rsidRPr="00570B6F">
        <w:rPr>
          <w:rFonts w:ascii="Arial" w:hAnsi="Arial" w:cs="Arial"/>
          <w:sz w:val="24"/>
          <w:szCs w:val="24"/>
        </w:rPr>
        <w:t>, una de sus alumnas de maestría cuyo trabajo estaba enfocado en el tema de manejo de ecosistemas de zonas áridas.</w:t>
      </w:r>
    </w:p>
    <w:p w:rsidR="00570B6F" w:rsidRPr="00570B6F" w:rsidRDefault="00570B6F" w:rsidP="00570B6F">
      <w:pPr>
        <w:shd w:val="clear" w:color="auto" w:fill="FFFFFF"/>
        <w:autoSpaceDN/>
        <w:jc w:val="both"/>
        <w:textAlignment w:val="auto"/>
      </w:pPr>
      <w:r w:rsidRPr="00570B6F">
        <w:rPr>
          <w:rFonts w:ascii="Arial" w:hAnsi="Arial" w:cs="Arial"/>
          <w:sz w:val="12"/>
          <w:szCs w:val="12"/>
        </w:rPr>
        <w:t> </w:t>
      </w:r>
    </w:p>
    <w:p w:rsidR="00570B6F" w:rsidRPr="00570B6F" w:rsidRDefault="00570B6F" w:rsidP="00570B6F">
      <w:pPr>
        <w:shd w:val="clear" w:color="auto" w:fill="FFFFFF"/>
        <w:autoSpaceDN/>
        <w:jc w:val="both"/>
        <w:textAlignment w:val="auto"/>
      </w:pPr>
      <w:r w:rsidRPr="00570B6F">
        <w:rPr>
          <w:rFonts w:ascii="Arial" w:hAnsi="Arial" w:cs="Arial"/>
          <w:sz w:val="24"/>
          <w:szCs w:val="24"/>
        </w:rPr>
        <w:t>La doctora Villada Canela, mencionó que Ensenada es un claro ejemplo de las diferentes  fuentes de donde proviene el agua, como los acuíferos, por lo que la calidad no siempre es la ad</w:t>
      </w:r>
      <w:r w:rsidRPr="00570B6F">
        <w:rPr>
          <w:rFonts w:ascii="Arial" w:hAnsi="Arial" w:cs="Arial"/>
          <w:sz w:val="24"/>
          <w:szCs w:val="24"/>
        </w:rPr>
        <w:t>e</w:t>
      </w:r>
      <w:r w:rsidRPr="00570B6F">
        <w:rPr>
          <w:rFonts w:ascii="Arial" w:hAnsi="Arial" w:cs="Arial"/>
          <w:sz w:val="24"/>
          <w:szCs w:val="24"/>
        </w:rPr>
        <w:t>cuada al excederse de sólidos disueltos totales; al no ser de calidad potable, no se cumple el derecho al agua.</w:t>
      </w:r>
    </w:p>
    <w:p w:rsidR="00570B6F" w:rsidRPr="00570B6F" w:rsidRDefault="00570B6F" w:rsidP="00570B6F">
      <w:pPr>
        <w:shd w:val="clear" w:color="auto" w:fill="FFFFFF"/>
        <w:autoSpaceDN/>
        <w:jc w:val="both"/>
        <w:textAlignment w:val="auto"/>
      </w:pPr>
      <w:r w:rsidRPr="00570B6F">
        <w:rPr>
          <w:rFonts w:ascii="Arial" w:hAnsi="Arial" w:cs="Arial"/>
          <w:sz w:val="12"/>
          <w:szCs w:val="12"/>
        </w:rPr>
        <w:t> </w:t>
      </w:r>
    </w:p>
    <w:p w:rsidR="00570B6F" w:rsidRPr="00570B6F" w:rsidRDefault="00570B6F" w:rsidP="00570B6F">
      <w:pPr>
        <w:shd w:val="clear" w:color="auto" w:fill="FFFFFF"/>
        <w:autoSpaceDN/>
        <w:jc w:val="both"/>
        <w:textAlignment w:val="auto"/>
      </w:pPr>
      <w:r w:rsidRPr="00570B6F">
        <w:rPr>
          <w:rFonts w:ascii="Arial" w:hAnsi="Arial" w:cs="Arial"/>
          <w:sz w:val="24"/>
          <w:szCs w:val="24"/>
        </w:rPr>
        <w:t>“La importancia del proyecto de investigación fue desarrollar los argumentos respecto al derecho humano al agua, aplicarlo a Ensenada, definir cómo podría estudiarse, conocer cómo se ejerce y las implicaciones en la práctica en torno a los elementos a favor”, señaló la investigadora.</w:t>
      </w:r>
    </w:p>
    <w:p w:rsidR="00570B6F" w:rsidRPr="00570B6F" w:rsidRDefault="00570B6F" w:rsidP="00570B6F">
      <w:pPr>
        <w:shd w:val="clear" w:color="auto" w:fill="FFFFFF"/>
        <w:autoSpaceDN/>
        <w:jc w:val="both"/>
        <w:textAlignment w:val="auto"/>
      </w:pPr>
      <w:r w:rsidRPr="00570B6F">
        <w:rPr>
          <w:rFonts w:ascii="Arial" w:hAnsi="Arial" w:cs="Arial"/>
          <w:sz w:val="12"/>
          <w:szCs w:val="12"/>
        </w:rPr>
        <w:t> </w:t>
      </w:r>
    </w:p>
    <w:p w:rsidR="00570B6F" w:rsidRPr="00570B6F" w:rsidRDefault="00570B6F" w:rsidP="00570B6F">
      <w:pPr>
        <w:shd w:val="clear" w:color="auto" w:fill="FFFFFF"/>
        <w:autoSpaceDN/>
        <w:jc w:val="both"/>
        <w:textAlignment w:val="auto"/>
      </w:pPr>
      <w:r w:rsidRPr="00570B6F">
        <w:rPr>
          <w:rFonts w:ascii="Arial" w:hAnsi="Arial" w:cs="Arial"/>
          <w:sz w:val="24"/>
          <w:szCs w:val="24"/>
        </w:rPr>
        <w:t>Expuso que durante el estudio encontraron que sí existe literatura extensa sobre este derecho humano, en su mayoría de carácter jurídico, así como de argumentos científicos, participación social y educación ambiental, los cuales son parte de evidencias a favor.</w:t>
      </w:r>
    </w:p>
    <w:p w:rsidR="00570B6F" w:rsidRPr="00570B6F" w:rsidRDefault="00570B6F" w:rsidP="00570B6F">
      <w:pPr>
        <w:shd w:val="clear" w:color="auto" w:fill="FFFFFF"/>
        <w:autoSpaceDN/>
        <w:jc w:val="both"/>
        <w:textAlignment w:val="auto"/>
      </w:pPr>
      <w:r w:rsidRPr="00570B6F">
        <w:rPr>
          <w:rFonts w:ascii="Arial" w:hAnsi="Arial" w:cs="Arial"/>
          <w:sz w:val="12"/>
          <w:szCs w:val="12"/>
        </w:rPr>
        <w:t> </w:t>
      </w:r>
    </w:p>
    <w:p w:rsidR="00570B6F" w:rsidRPr="00570B6F" w:rsidRDefault="00570B6F" w:rsidP="00570B6F">
      <w:pPr>
        <w:shd w:val="clear" w:color="auto" w:fill="FFFFFF"/>
        <w:autoSpaceDN/>
        <w:jc w:val="both"/>
        <w:textAlignment w:val="auto"/>
      </w:pPr>
      <w:r w:rsidRPr="00570B6F">
        <w:rPr>
          <w:rFonts w:ascii="Arial" w:hAnsi="Arial" w:cs="Arial"/>
          <w:sz w:val="24"/>
          <w:szCs w:val="24"/>
        </w:rPr>
        <w:t>Con estos datos determinaron las variantes con las que se caracteriza el derecho humano al agua. Posteriormente aplicaron una guía de evaluación a Ensenada que arrojó el incumplimiento del derecho por falta de información, por lo que el estudio  también se avocó a que cualquier persona pudiera conocer y ejercer bien este derecho.</w:t>
      </w:r>
    </w:p>
    <w:p w:rsidR="00570B6F" w:rsidRPr="00570B6F" w:rsidRDefault="00570B6F" w:rsidP="00570B6F">
      <w:pPr>
        <w:shd w:val="clear" w:color="auto" w:fill="FFFFFF"/>
        <w:autoSpaceDN/>
        <w:jc w:val="both"/>
        <w:textAlignment w:val="auto"/>
      </w:pPr>
      <w:r w:rsidRPr="00570B6F">
        <w:rPr>
          <w:rFonts w:ascii="Arial" w:hAnsi="Arial" w:cs="Arial"/>
          <w:sz w:val="12"/>
          <w:szCs w:val="12"/>
        </w:rPr>
        <w:t> </w:t>
      </w:r>
    </w:p>
    <w:p w:rsidR="00570B6F" w:rsidRPr="00570B6F" w:rsidRDefault="00570B6F" w:rsidP="00570B6F">
      <w:pPr>
        <w:shd w:val="clear" w:color="auto" w:fill="FFFFFF"/>
        <w:autoSpaceDN/>
        <w:jc w:val="both"/>
        <w:textAlignment w:val="auto"/>
      </w:pPr>
      <w:r w:rsidRPr="00570B6F">
        <w:rPr>
          <w:rFonts w:ascii="Arial" w:hAnsi="Arial" w:cs="Arial"/>
          <w:sz w:val="24"/>
          <w:szCs w:val="24"/>
        </w:rPr>
        <w:t>Con el nuevo gobierno y la nueva directora de la Comisión Nacional del Agua, la doctora Villada Canela espera se impulse la Ley General de Aguas que ha sido muy controversial y que actualmente permanece detenida. “En Baja California existe una ley previa sobre este tema, pero no queda claro cómo es que se va a lograr implementar, falta explicar cómo se va a ejercer este derecho”, explicó.</w:t>
      </w:r>
    </w:p>
    <w:p w:rsidR="00570B6F" w:rsidRPr="00570B6F" w:rsidRDefault="00570B6F" w:rsidP="00570B6F">
      <w:pPr>
        <w:shd w:val="clear" w:color="auto" w:fill="FFFFFF"/>
        <w:autoSpaceDN/>
        <w:jc w:val="both"/>
        <w:textAlignment w:val="auto"/>
      </w:pPr>
      <w:r w:rsidRPr="00570B6F">
        <w:rPr>
          <w:rFonts w:ascii="Arial" w:hAnsi="Arial" w:cs="Arial"/>
          <w:sz w:val="12"/>
          <w:szCs w:val="12"/>
        </w:rPr>
        <w:t> </w:t>
      </w:r>
    </w:p>
    <w:p w:rsidR="00570B6F" w:rsidRPr="00570B6F" w:rsidRDefault="00570B6F" w:rsidP="00570B6F">
      <w:pPr>
        <w:shd w:val="clear" w:color="auto" w:fill="FFFFFF"/>
        <w:autoSpaceDN/>
        <w:jc w:val="both"/>
        <w:textAlignment w:val="auto"/>
      </w:pPr>
      <w:r w:rsidRPr="00570B6F">
        <w:rPr>
          <w:rFonts w:ascii="Arial" w:hAnsi="Arial" w:cs="Arial"/>
          <w:sz w:val="24"/>
          <w:szCs w:val="24"/>
        </w:rPr>
        <w:t>Destacó que se tienen puntos a favor al cumplir con algunos elementos del derecho al agua,  pero en otros no es suficiente, por lo que opinó que es difícil sugerir que se esté cumpliendo con el mismo en Ensenada, Baja California o inclusive en México.</w:t>
      </w:r>
    </w:p>
    <w:p w:rsidR="00570B6F" w:rsidRPr="00570B6F" w:rsidRDefault="00570B6F" w:rsidP="00570B6F">
      <w:pPr>
        <w:shd w:val="clear" w:color="auto" w:fill="FFFFFF"/>
        <w:autoSpaceDN/>
        <w:jc w:val="both"/>
        <w:textAlignment w:val="auto"/>
      </w:pPr>
      <w:r w:rsidRPr="00570B6F">
        <w:rPr>
          <w:rFonts w:ascii="Arial" w:hAnsi="Arial" w:cs="Arial"/>
          <w:sz w:val="12"/>
          <w:szCs w:val="12"/>
        </w:rPr>
        <w:t> </w:t>
      </w:r>
    </w:p>
    <w:p w:rsidR="00570B6F" w:rsidRPr="00570B6F" w:rsidRDefault="00570B6F" w:rsidP="00570B6F">
      <w:pPr>
        <w:shd w:val="clear" w:color="auto" w:fill="FFFFFF"/>
        <w:autoSpaceDN/>
        <w:jc w:val="both"/>
        <w:textAlignment w:val="auto"/>
      </w:pPr>
      <w:r w:rsidRPr="00570B6F">
        <w:rPr>
          <w:rFonts w:ascii="Arial" w:hAnsi="Arial" w:cs="Arial"/>
          <w:sz w:val="24"/>
          <w:szCs w:val="24"/>
        </w:rPr>
        <w:t xml:space="preserve">Cabe señalar que recientemente obtuvieron los derechos de propiedad intelectual de esta investigación en la cual colaboraron también la doctora Candelaria Pelayo, profesora de la Facultad de Derecho Mexicali; doctor Ricardo </w:t>
      </w:r>
      <w:proofErr w:type="spellStart"/>
      <w:r w:rsidRPr="00570B6F">
        <w:rPr>
          <w:rFonts w:ascii="Arial" w:hAnsi="Arial" w:cs="Arial"/>
          <w:sz w:val="24"/>
          <w:szCs w:val="24"/>
        </w:rPr>
        <w:t>Eaton</w:t>
      </w:r>
      <w:proofErr w:type="spellEnd"/>
      <w:r w:rsidRPr="00570B6F">
        <w:rPr>
          <w:rFonts w:ascii="Arial" w:hAnsi="Arial" w:cs="Arial"/>
          <w:sz w:val="24"/>
          <w:szCs w:val="24"/>
        </w:rPr>
        <w:t xml:space="preserve"> González, profesor de la Facultad de Ciencias y el doctor Luis Walter </w:t>
      </w:r>
      <w:proofErr w:type="spellStart"/>
      <w:r w:rsidRPr="00570B6F">
        <w:rPr>
          <w:rFonts w:ascii="Arial" w:hAnsi="Arial" w:cs="Arial"/>
          <w:sz w:val="24"/>
          <w:szCs w:val="24"/>
        </w:rPr>
        <w:t>Daesslé</w:t>
      </w:r>
      <w:proofErr w:type="spellEnd"/>
      <w:r w:rsidRPr="00570B6F">
        <w:rPr>
          <w:rFonts w:ascii="Arial" w:hAnsi="Arial" w:cs="Arial"/>
          <w:sz w:val="24"/>
          <w:szCs w:val="24"/>
        </w:rPr>
        <w:t xml:space="preserve"> </w:t>
      </w:r>
      <w:proofErr w:type="spellStart"/>
      <w:r w:rsidRPr="00570B6F">
        <w:rPr>
          <w:rFonts w:ascii="Arial" w:hAnsi="Arial" w:cs="Arial"/>
          <w:sz w:val="24"/>
          <w:szCs w:val="24"/>
        </w:rPr>
        <w:t>Heuser</w:t>
      </w:r>
      <w:proofErr w:type="spellEnd"/>
      <w:r w:rsidRPr="00570B6F">
        <w:rPr>
          <w:rFonts w:ascii="Arial" w:hAnsi="Arial" w:cs="Arial"/>
          <w:sz w:val="24"/>
          <w:szCs w:val="24"/>
        </w:rPr>
        <w:t>, del IIO. </w:t>
      </w:r>
    </w:p>
    <w:p w:rsidR="00315489" w:rsidRPr="00570B6F" w:rsidRDefault="00315489" w:rsidP="00570B6F">
      <w:pPr>
        <w:jc w:val="center"/>
        <w:rPr>
          <w:rFonts w:ascii="Arial" w:hAnsi="Arial" w:cs="Arial"/>
          <w:b/>
          <w:bCs/>
          <w:sz w:val="12"/>
          <w:szCs w:val="12"/>
        </w:rPr>
      </w:pPr>
    </w:p>
    <w:sectPr w:rsidR="00315489" w:rsidRPr="00570B6F"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6CF" w:rsidRDefault="005E06CF">
      <w:r>
        <w:separator/>
      </w:r>
    </w:p>
  </w:endnote>
  <w:endnote w:type="continuationSeparator" w:id="0">
    <w:p w:rsidR="005E06CF" w:rsidRDefault="005E0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6CF" w:rsidRDefault="005E06CF">
      <w:r>
        <w:rPr>
          <w:color w:val="000000"/>
        </w:rPr>
        <w:separator/>
      </w:r>
    </w:p>
  </w:footnote>
  <w:footnote w:type="continuationSeparator" w:id="0">
    <w:p w:rsidR="005E06CF" w:rsidRDefault="005E06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28FB59E0"/>
    <w:multiLevelType w:val="hybridMultilevel"/>
    <w:tmpl w:val="55B0B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E6C210E"/>
    <w:multiLevelType w:val="hybridMultilevel"/>
    <w:tmpl w:val="BE8C99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4EA97F0C"/>
    <w:multiLevelType w:val="hybridMultilevel"/>
    <w:tmpl w:val="3432CCCE"/>
    <w:lvl w:ilvl="0" w:tplc="991E7FC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348379B"/>
    <w:multiLevelType w:val="hybridMultilevel"/>
    <w:tmpl w:val="5C7C8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2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8345563"/>
    <w:multiLevelType w:val="hybridMultilevel"/>
    <w:tmpl w:val="F6ACB3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6">
    <w:nsid w:val="6BE05189"/>
    <w:multiLevelType w:val="hybridMultilevel"/>
    <w:tmpl w:val="958C9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nsid w:val="7BCB6E6A"/>
    <w:multiLevelType w:val="hybridMultilevel"/>
    <w:tmpl w:val="564C3A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4"/>
  </w:num>
  <w:num w:numId="4">
    <w:abstractNumId w:val="19"/>
  </w:num>
  <w:num w:numId="5">
    <w:abstractNumId w:val="30"/>
  </w:num>
  <w:num w:numId="6">
    <w:abstractNumId w:val="2"/>
  </w:num>
  <w:num w:numId="7">
    <w:abstractNumId w:val="18"/>
  </w:num>
  <w:num w:numId="8">
    <w:abstractNumId w:val="15"/>
  </w:num>
  <w:num w:numId="9">
    <w:abstractNumId w:val="1"/>
  </w:num>
  <w:num w:numId="10">
    <w:abstractNumId w:val="7"/>
  </w:num>
  <w:num w:numId="11">
    <w:abstractNumId w:val="6"/>
  </w:num>
  <w:num w:numId="12">
    <w:abstractNumId w:val="13"/>
  </w:num>
  <w:num w:numId="13">
    <w:abstractNumId w:val="22"/>
  </w:num>
  <w:num w:numId="14">
    <w:abstractNumId w:val="0"/>
  </w:num>
  <w:num w:numId="15">
    <w:abstractNumId w:val="9"/>
  </w:num>
  <w:num w:numId="16">
    <w:abstractNumId w:val="23"/>
  </w:num>
  <w:num w:numId="17">
    <w:abstractNumId w:val="8"/>
  </w:num>
  <w:num w:numId="18">
    <w:abstractNumId w:val="10"/>
  </w:num>
  <w:num w:numId="19">
    <w:abstractNumId w:val="27"/>
  </w:num>
  <w:num w:numId="20">
    <w:abstractNumId w:val="20"/>
  </w:num>
  <w:num w:numId="21">
    <w:abstractNumId w:val="28"/>
  </w:num>
  <w:num w:numId="22">
    <w:abstractNumId w:val="25"/>
  </w:num>
  <w:num w:numId="23">
    <w:abstractNumId w:val="11"/>
  </w:num>
  <w:num w:numId="24">
    <w:abstractNumId w:val="26"/>
  </w:num>
  <w:num w:numId="25">
    <w:abstractNumId w:val="16"/>
  </w:num>
  <w:num w:numId="26">
    <w:abstractNumId w:val="14"/>
  </w:num>
  <w:num w:numId="27">
    <w:abstractNumId w:val="29"/>
  </w:num>
  <w:num w:numId="28">
    <w:abstractNumId w:val="17"/>
  </w:num>
  <w:num w:numId="29">
    <w:abstractNumId w:val="24"/>
  </w:num>
  <w:num w:numId="30">
    <w:abstractNumId w:val="3"/>
  </w:num>
  <w:num w:numId="31">
    <w:abstractNumId w:val="5"/>
  </w:num>
  <w:num w:numId="32">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06B"/>
    <w:rsid w:val="00017337"/>
    <w:rsid w:val="00017486"/>
    <w:rsid w:val="000174FD"/>
    <w:rsid w:val="00017C62"/>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1710"/>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06A"/>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4B14"/>
    <w:rsid w:val="000C51D9"/>
    <w:rsid w:val="000C579F"/>
    <w:rsid w:val="000C5966"/>
    <w:rsid w:val="000C6909"/>
    <w:rsid w:val="000C6D98"/>
    <w:rsid w:val="000C6FFF"/>
    <w:rsid w:val="000C7330"/>
    <w:rsid w:val="000C7452"/>
    <w:rsid w:val="000C75F9"/>
    <w:rsid w:val="000C7DB1"/>
    <w:rsid w:val="000D001D"/>
    <w:rsid w:val="000D03D6"/>
    <w:rsid w:val="000D08DF"/>
    <w:rsid w:val="000D0D60"/>
    <w:rsid w:val="000D0EDE"/>
    <w:rsid w:val="000D122D"/>
    <w:rsid w:val="000D1976"/>
    <w:rsid w:val="000D1EE6"/>
    <w:rsid w:val="000D26A7"/>
    <w:rsid w:val="000D27C3"/>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9BD"/>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5B91"/>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8DE"/>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75"/>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F47"/>
    <w:rsid w:val="001E0199"/>
    <w:rsid w:val="001E0FF5"/>
    <w:rsid w:val="001E1158"/>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6C"/>
    <w:rsid w:val="00230DC0"/>
    <w:rsid w:val="002312C7"/>
    <w:rsid w:val="002319B6"/>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82B"/>
    <w:rsid w:val="002C1A15"/>
    <w:rsid w:val="002C1E5A"/>
    <w:rsid w:val="002C2557"/>
    <w:rsid w:val="002C2771"/>
    <w:rsid w:val="002C2B17"/>
    <w:rsid w:val="002C2C85"/>
    <w:rsid w:val="002C2CC7"/>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487"/>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4A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E7DDA"/>
    <w:rsid w:val="003F056B"/>
    <w:rsid w:val="003F0759"/>
    <w:rsid w:val="003F07ED"/>
    <w:rsid w:val="003F14E1"/>
    <w:rsid w:val="003F274F"/>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300"/>
    <w:rsid w:val="004134F2"/>
    <w:rsid w:val="00413747"/>
    <w:rsid w:val="00413A28"/>
    <w:rsid w:val="00413F42"/>
    <w:rsid w:val="004141E3"/>
    <w:rsid w:val="00414267"/>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6FBB"/>
    <w:rsid w:val="00427072"/>
    <w:rsid w:val="00427125"/>
    <w:rsid w:val="00427363"/>
    <w:rsid w:val="00427640"/>
    <w:rsid w:val="00430113"/>
    <w:rsid w:val="00430281"/>
    <w:rsid w:val="00430419"/>
    <w:rsid w:val="004308ED"/>
    <w:rsid w:val="0043102B"/>
    <w:rsid w:val="00431296"/>
    <w:rsid w:val="00431AF3"/>
    <w:rsid w:val="00431B18"/>
    <w:rsid w:val="00432217"/>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2F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48C"/>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85F"/>
    <w:rsid w:val="00563FC7"/>
    <w:rsid w:val="005644C5"/>
    <w:rsid w:val="00565BFD"/>
    <w:rsid w:val="00566545"/>
    <w:rsid w:val="0056680F"/>
    <w:rsid w:val="00566AAD"/>
    <w:rsid w:val="00566B0C"/>
    <w:rsid w:val="005675FE"/>
    <w:rsid w:val="00567A70"/>
    <w:rsid w:val="00567C69"/>
    <w:rsid w:val="005703DF"/>
    <w:rsid w:val="00570B6F"/>
    <w:rsid w:val="0057167C"/>
    <w:rsid w:val="00571B94"/>
    <w:rsid w:val="005723B2"/>
    <w:rsid w:val="00572EA2"/>
    <w:rsid w:val="00572EDF"/>
    <w:rsid w:val="00573D71"/>
    <w:rsid w:val="00574256"/>
    <w:rsid w:val="005742F4"/>
    <w:rsid w:val="00574743"/>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1F00"/>
    <w:rsid w:val="005D20F8"/>
    <w:rsid w:val="005D22FF"/>
    <w:rsid w:val="005D2F59"/>
    <w:rsid w:val="005D3645"/>
    <w:rsid w:val="005D4841"/>
    <w:rsid w:val="005D5F6E"/>
    <w:rsid w:val="005D6292"/>
    <w:rsid w:val="005D62DA"/>
    <w:rsid w:val="005D6336"/>
    <w:rsid w:val="005D7502"/>
    <w:rsid w:val="005E01F2"/>
    <w:rsid w:val="005E0446"/>
    <w:rsid w:val="005E06CF"/>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5BA"/>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1D4"/>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35F"/>
    <w:rsid w:val="00713706"/>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66E"/>
    <w:rsid w:val="00754741"/>
    <w:rsid w:val="00754A11"/>
    <w:rsid w:val="00754F26"/>
    <w:rsid w:val="0075521B"/>
    <w:rsid w:val="0075576C"/>
    <w:rsid w:val="00755A69"/>
    <w:rsid w:val="00756046"/>
    <w:rsid w:val="00756256"/>
    <w:rsid w:val="007563BE"/>
    <w:rsid w:val="007568E1"/>
    <w:rsid w:val="007569B1"/>
    <w:rsid w:val="00756DDD"/>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3845"/>
    <w:rsid w:val="007F3C93"/>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ADC"/>
    <w:rsid w:val="00865DF8"/>
    <w:rsid w:val="00865F0B"/>
    <w:rsid w:val="008663D0"/>
    <w:rsid w:val="0086644F"/>
    <w:rsid w:val="00866761"/>
    <w:rsid w:val="00866BC6"/>
    <w:rsid w:val="00867068"/>
    <w:rsid w:val="008672D8"/>
    <w:rsid w:val="0086799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6C1"/>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621"/>
    <w:rsid w:val="00925F80"/>
    <w:rsid w:val="009268D4"/>
    <w:rsid w:val="009270C9"/>
    <w:rsid w:val="00927B55"/>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4516"/>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222"/>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2B1"/>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1FBB"/>
    <w:rsid w:val="00A1253F"/>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0CE1"/>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2E6"/>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2E7"/>
    <w:rsid w:val="00B434B6"/>
    <w:rsid w:val="00B437CD"/>
    <w:rsid w:val="00B43D54"/>
    <w:rsid w:val="00B4417F"/>
    <w:rsid w:val="00B441B9"/>
    <w:rsid w:val="00B4460D"/>
    <w:rsid w:val="00B44B77"/>
    <w:rsid w:val="00B44E0A"/>
    <w:rsid w:val="00B453A4"/>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0D"/>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5E1"/>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3F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460"/>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6F"/>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96A"/>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A9D"/>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6F2"/>
    <w:rsid w:val="00CD58A6"/>
    <w:rsid w:val="00CD63AC"/>
    <w:rsid w:val="00CD68BD"/>
    <w:rsid w:val="00CD6B9F"/>
    <w:rsid w:val="00CD73F4"/>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27D"/>
    <w:rsid w:val="00CF68C7"/>
    <w:rsid w:val="00CF6B3F"/>
    <w:rsid w:val="00CF6DDC"/>
    <w:rsid w:val="00CF7DC9"/>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7A3"/>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91"/>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630"/>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1F7"/>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4F7"/>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6E22"/>
    <w:rsid w:val="00EE72B9"/>
    <w:rsid w:val="00EE795D"/>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A17"/>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503"/>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2FCA"/>
    <w:rsid w:val="00F936E9"/>
    <w:rsid w:val="00F93EFD"/>
    <w:rsid w:val="00F9481A"/>
    <w:rsid w:val="00F94CF7"/>
    <w:rsid w:val="00F94D55"/>
    <w:rsid w:val="00F9542B"/>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20A"/>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94447531722583139m-6991383406799667615m3702188379507134751m-7495172182117835546m-201063675954000147gmail-msolistparagraph">
    <w:name w:val="m_-6694447531722583139m_-6991383406799667615m_3702188379507134751m_-7495172182117835546m_-201063675954000147gmail-msolistparagraph"/>
    <w:basedOn w:val="Normal"/>
    <w:rsid w:val="00570B6F"/>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94447531722583139m-6991383406799667615m3702188379507134751m-7495172182117835546m-201063675954000147gmail-msolistparagraph">
    <w:name w:val="m_-6694447531722583139m_-6991383406799667615m_3702188379507134751m_-7495172182117835546m_-201063675954000147gmail-msolistparagraph"/>
    <w:basedOn w:val="Normal"/>
    <w:rsid w:val="00570B6F"/>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1429601">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E3828-5624-46B3-8E4A-59CD188BC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512</Words>
  <Characters>2818</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cp:revision>
  <cp:lastPrinted>2019-06-04T21:58:00Z</cp:lastPrinted>
  <dcterms:created xsi:type="dcterms:W3CDTF">2019-07-08T22:11:00Z</dcterms:created>
  <dcterms:modified xsi:type="dcterms:W3CDTF">2019-07-29T16:11:00Z</dcterms:modified>
</cp:coreProperties>
</file>