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315489">
        <w:rPr>
          <w:rFonts w:ascii="Arial" w:hAnsi="Arial" w:cs="Arial"/>
          <w:b/>
          <w:sz w:val="24"/>
          <w:szCs w:val="24"/>
        </w:rPr>
        <w:t>0</w:t>
      </w:r>
      <w:r w:rsidR="008D2C4D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15489" w:rsidRPr="00315489" w:rsidRDefault="00315489" w:rsidP="0031548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F5D9B" w:rsidRPr="00432217" w:rsidRDefault="00E52419" w:rsidP="008F5D9B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Oferta</w:t>
      </w:r>
      <w:r w:rsidR="008F5D9B" w:rsidRPr="00432217">
        <w:rPr>
          <w:rFonts w:ascii="Arial" w:hAnsi="Arial" w:cs="Arial"/>
          <w:b/>
          <w:spacing w:val="-4"/>
          <w:sz w:val="36"/>
          <w:szCs w:val="24"/>
        </w:rPr>
        <w:t xml:space="preserve"> UABC </w:t>
      </w:r>
      <w:r>
        <w:rPr>
          <w:rFonts w:ascii="Arial" w:hAnsi="Arial" w:cs="Arial"/>
          <w:b/>
          <w:spacing w:val="-4"/>
          <w:sz w:val="36"/>
          <w:szCs w:val="24"/>
        </w:rPr>
        <w:t>especialidades y posgrados de calidad</w:t>
      </w:r>
    </w:p>
    <w:p w:rsidR="008F5D9B" w:rsidRPr="00432217" w:rsidRDefault="008F5D9B" w:rsidP="008F5D9B">
      <w:pPr>
        <w:jc w:val="both"/>
        <w:rPr>
          <w:rFonts w:ascii="Arial" w:hAnsi="Arial" w:cs="Arial"/>
          <w:b/>
          <w:spacing w:val="-4"/>
          <w:sz w:val="16"/>
          <w:szCs w:val="16"/>
        </w:rPr>
      </w:pPr>
    </w:p>
    <w:p w:rsidR="008F5D9B" w:rsidRPr="000C690A" w:rsidRDefault="000C690A" w:rsidP="008F5D9B">
      <w:pPr>
        <w:pStyle w:val="Prrafodelista"/>
        <w:numPr>
          <w:ilvl w:val="0"/>
          <w:numId w:val="31"/>
        </w:numPr>
        <w:suppressAutoHyphens w:val="0"/>
        <w:autoSpaceDN/>
        <w:spacing w:line="276" w:lineRule="auto"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0C690A">
        <w:rPr>
          <w:rFonts w:ascii="Arial" w:hAnsi="Arial" w:cs="Arial"/>
          <w:sz w:val="24"/>
          <w:bdr w:val="none" w:sz="0" w:space="0" w:color="auto" w:frame="1"/>
        </w:rPr>
        <w:t>En total son 10 especialidades, 33 maestrías y 20 doctorados</w:t>
      </w:r>
      <w:r w:rsidR="008F5D9B" w:rsidRPr="000C690A">
        <w:rPr>
          <w:rFonts w:ascii="Arial" w:hAnsi="Arial" w:cs="Arial"/>
          <w:sz w:val="24"/>
          <w:szCs w:val="24"/>
        </w:rPr>
        <w:t>.</w:t>
      </w:r>
    </w:p>
    <w:p w:rsidR="008F5D9B" w:rsidRPr="00950C02" w:rsidRDefault="008F5D9B" w:rsidP="00654E17">
      <w:pPr>
        <w:pStyle w:val="Prrafodelista"/>
        <w:ind w:left="284"/>
        <w:jc w:val="both"/>
        <w:rPr>
          <w:rFonts w:ascii="Arial" w:hAnsi="Arial" w:cs="Arial"/>
          <w:sz w:val="12"/>
          <w:szCs w:val="12"/>
        </w:rPr>
      </w:pPr>
    </w:p>
    <w:p w:rsidR="00E52419" w:rsidRDefault="00432217" w:rsidP="00654E17">
      <w:pPr>
        <w:pStyle w:val="Ttulo1"/>
        <w:ind w:right="17"/>
        <w:jc w:val="both"/>
        <w:rPr>
          <w:rFonts w:ascii="Arial" w:hAnsi="Arial" w:cs="Arial"/>
          <w:b w:val="0"/>
          <w:sz w:val="24"/>
          <w:bdr w:val="none" w:sz="0" w:space="0" w:color="auto" w:frame="1"/>
        </w:rPr>
      </w:pPr>
      <w:r w:rsidRPr="00654E17">
        <w:rPr>
          <w:rFonts w:ascii="Arial" w:hAnsi="Arial" w:cs="Arial"/>
          <w:sz w:val="24"/>
        </w:rPr>
        <w:t xml:space="preserve">Mexicali, B.C., </w:t>
      </w:r>
      <w:r w:rsidR="008D2C4D">
        <w:rPr>
          <w:rFonts w:ascii="Arial" w:hAnsi="Arial" w:cs="Arial"/>
          <w:sz w:val="24"/>
        </w:rPr>
        <w:t>miércoles 17</w:t>
      </w:r>
      <w:r w:rsidRPr="00654E17">
        <w:rPr>
          <w:rFonts w:ascii="Arial" w:hAnsi="Arial" w:cs="Arial"/>
          <w:sz w:val="24"/>
        </w:rPr>
        <w:t xml:space="preserve"> de julio de 2019.- 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La </w:t>
      </w:r>
      <w:r w:rsidR="00EF03B3" w:rsidRPr="00654E17">
        <w:rPr>
          <w:rFonts w:ascii="Arial" w:hAnsi="Arial" w:cs="Arial"/>
          <w:b w:val="0"/>
          <w:sz w:val="24"/>
          <w:bdr w:val="none" w:sz="0" w:space="0" w:color="auto" w:frame="1"/>
        </w:rPr>
        <w:t>Universidad Autónoma de Baja California (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>UABC</w:t>
      </w:r>
      <w:r w:rsidR="00EF03B3" w:rsidRPr="00654E17">
        <w:rPr>
          <w:rFonts w:ascii="Arial" w:hAnsi="Arial" w:cs="Arial"/>
          <w:b w:val="0"/>
          <w:sz w:val="24"/>
          <w:bdr w:val="none" w:sz="0" w:space="0" w:color="auto" w:frame="1"/>
        </w:rPr>
        <w:t>)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</w:t>
      </w:r>
      <w:r w:rsidR="00EF03B3" w:rsidRPr="00654E17">
        <w:rPr>
          <w:rFonts w:ascii="Arial" w:hAnsi="Arial" w:cs="Arial"/>
          <w:b w:val="0"/>
          <w:sz w:val="24"/>
          <w:bdr w:val="none" w:sz="0" w:space="0" w:color="auto" w:frame="1"/>
        </w:rPr>
        <w:t>cuenta con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una amplia oferta de especialidades y posgrados que </w:t>
      </w:r>
      <w:r w:rsidR="00FE20E1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son evaluados por el 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Padrón del Programa Nacional de Posgrados</w:t>
      </w:r>
      <w:r w:rsidR="00FE20E1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>de Calidad</w:t>
      </w:r>
      <w:r w:rsidR="00FE20E1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(PNPC) d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>el Consejo Nacional de Ciencia y Tecnología (Conacyt).</w:t>
      </w:r>
      <w:r w:rsidR="00635453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En total son 10 especialidades, </w:t>
      </w:r>
      <w:r w:rsidR="00FD107F" w:rsidRPr="00654E17">
        <w:rPr>
          <w:rFonts w:ascii="Arial" w:hAnsi="Arial" w:cs="Arial"/>
          <w:b w:val="0"/>
          <w:sz w:val="24"/>
          <w:bdr w:val="none" w:sz="0" w:space="0" w:color="auto" w:frame="1"/>
        </w:rPr>
        <w:t>3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3 maestrías y </w:t>
      </w:r>
      <w:r w:rsidR="00FD107F" w:rsidRPr="00654E17">
        <w:rPr>
          <w:rFonts w:ascii="Arial" w:hAnsi="Arial" w:cs="Arial"/>
          <w:b w:val="0"/>
          <w:sz w:val="24"/>
          <w:bdr w:val="none" w:sz="0" w:space="0" w:color="auto" w:frame="1"/>
        </w:rPr>
        <w:t>20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 doctorados </w:t>
      </w:r>
      <w:r w:rsidR="00635453" w:rsidRPr="00654E17">
        <w:rPr>
          <w:rFonts w:ascii="Arial" w:hAnsi="Arial" w:cs="Arial"/>
          <w:b w:val="0"/>
          <w:sz w:val="24"/>
          <w:bdr w:val="none" w:sz="0" w:space="0" w:color="auto" w:frame="1"/>
        </w:rPr>
        <w:t xml:space="preserve">que cumplen con </w:t>
      </w:r>
      <w:r w:rsidR="00E52419" w:rsidRPr="00654E17">
        <w:rPr>
          <w:rFonts w:ascii="Arial" w:hAnsi="Arial" w:cs="Arial"/>
          <w:b w:val="0"/>
          <w:sz w:val="24"/>
          <w:bdr w:val="none" w:sz="0" w:space="0" w:color="auto" w:frame="1"/>
        </w:rPr>
        <w:t>altos estándares de pertinencia y calidad</w:t>
      </w:r>
      <w:r w:rsidR="00635453" w:rsidRPr="00654E17">
        <w:rPr>
          <w:rFonts w:ascii="Arial" w:hAnsi="Arial" w:cs="Arial"/>
          <w:b w:val="0"/>
          <w:sz w:val="24"/>
          <w:bdr w:val="none" w:sz="0" w:space="0" w:color="auto" w:frame="1"/>
        </w:rPr>
        <w:t>.</w:t>
      </w:r>
    </w:p>
    <w:p w:rsidR="002F13D1" w:rsidRPr="002F13D1" w:rsidRDefault="002F13D1" w:rsidP="002F13D1">
      <w:pPr>
        <w:rPr>
          <w:rFonts w:ascii="Arial" w:hAnsi="Arial" w:cs="Arial"/>
          <w:sz w:val="16"/>
          <w:szCs w:val="16"/>
          <w:lang w:eastAsia="en-US"/>
        </w:rPr>
      </w:pPr>
    </w:p>
    <w:p w:rsidR="002F13D1" w:rsidRPr="00654E17" w:rsidRDefault="002F13D1" w:rsidP="002F13D1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2F13D1">
        <w:rPr>
          <w:rFonts w:ascii="Arial" w:hAnsi="Arial" w:cs="Arial"/>
          <w:sz w:val="24"/>
          <w:lang w:eastAsia="en-US"/>
        </w:rPr>
        <w:t xml:space="preserve">De </w:t>
      </w:r>
      <w:r>
        <w:rPr>
          <w:rFonts w:ascii="Arial" w:hAnsi="Arial" w:cs="Arial"/>
          <w:sz w:val="24"/>
          <w:lang w:eastAsia="en-US"/>
        </w:rPr>
        <w:t xml:space="preserve">estos programas educativos, 17 </w:t>
      </w:r>
      <w:r w:rsidR="001D5B2C">
        <w:rPr>
          <w:rFonts w:ascii="Arial" w:hAnsi="Arial" w:cs="Arial"/>
          <w:sz w:val="24"/>
          <w:lang w:eastAsia="en-US"/>
        </w:rPr>
        <w:t>se impartirán por primera vez</w:t>
      </w:r>
      <w:r>
        <w:rPr>
          <w:rFonts w:ascii="Arial" w:hAnsi="Arial" w:cs="Arial"/>
          <w:sz w:val="24"/>
          <w:lang w:eastAsia="en-US"/>
        </w:rPr>
        <w:t xml:space="preserve"> en el semestre 201-2. Las maestrías son en: Gastronomía; </w:t>
      </w:r>
      <w:r w:rsidRPr="00654E17">
        <w:rPr>
          <w:rFonts w:ascii="Arial" w:hAnsi="Arial" w:cs="Arial"/>
          <w:sz w:val="24"/>
          <w:szCs w:val="24"/>
        </w:rPr>
        <w:t xml:space="preserve">Arquitectura, Urbanismo </w:t>
      </w:r>
      <w:r>
        <w:rPr>
          <w:rFonts w:ascii="Arial" w:hAnsi="Arial" w:cs="Arial"/>
          <w:sz w:val="24"/>
          <w:szCs w:val="24"/>
        </w:rPr>
        <w:t>y</w:t>
      </w:r>
      <w:r w:rsidRPr="00654E17">
        <w:rPr>
          <w:rFonts w:ascii="Arial" w:hAnsi="Arial" w:cs="Arial"/>
          <w:sz w:val="24"/>
          <w:szCs w:val="24"/>
        </w:rPr>
        <w:t xml:space="preserve"> Diseño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Negocios Sociales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Proyectos Sociales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Psicología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Psicología Aplicada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Nutrición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Ciencias Médicas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 xml:space="preserve">Enfermería </w:t>
      </w:r>
      <w:r>
        <w:rPr>
          <w:rFonts w:ascii="Arial" w:hAnsi="Arial" w:cs="Arial"/>
          <w:sz w:val="24"/>
          <w:szCs w:val="24"/>
        </w:rPr>
        <w:t>e</w:t>
      </w:r>
      <w:r w:rsidRPr="00654E17">
        <w:rPr>
          <w:rFonts w:ascii="Arial" w:hAnsi="Arial" w:cs="Arial"/>
          <w:sz w:val="24"/>
          <w:szCs w:val="24"/>
        </w:rPr>
        <w:t>n Salud Comunitaria</w:t>
      </w:r>
      <w:r>
        <w:rPr>
          <w:rFonts w:ascii="Arial" w:hAnsi="Arial" w:cs="Arial"/>
          <w:sz w:val="24"/>
          <w:szCs w:val="24"/>
        </w:rPr>
        <w:t xml:space="preserve">, así como </w:t>
      </w:r>
      <w:r w:rsidRPr="002F13D1">
        <w:rPr>
          <w:rFonts w:ascii="Arial" w:hAnsi="Arial" w:cs="Arial"/>
          <w:sz w:val="24"/>
          <w:szCs w:val="24"/>
        </w:rPr>
        <w:t xml:space="preserve">Dramaturgia Escénica </w:t>
      </w:r>
      <w:r>
        <w:rPr>
          <w:rFonts w:ascii="Arial" w:hAnsi="Arial" w:cs="Arial"/>
          <w:sz w:val="24"/>
          <w:szCs w:val="24"/>
        </w:rPr>
        <w:t>y</w:t>
      </w:r>
      <w:r w:rsidRPr="002F13D1">
        <w:rPr>
          <w:rFonts w:ascii="Arial" w:hAnsi="Arial" w:cs="Arial"/>
          <w:sz w:val="24"/>
          <w:szCs w:val="24"/>
        </w:rPr>
        <w:t xml:space="preserve"> Literaria</w:t>
      </w:r>
      <w:r>
        <w:rPr>
          <w:rFonts w:ascii="Arial" w:hAnsi="Arial" w:cs="Arial"/>
          <w:sz w:val="24"/>
          <w:szCs w:val="24"/>
        </w:rPr>
        <w:t>.</w:t>
      </w:r>
      <w:r w:rsidR="001D5B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doctorados son en: </w:t>
      </w:r>
      <w:r w:rsidRPr="00654E17">
        <w:rPr>
          <w:rFonts w:ascii="Arial" w:hAnsi="Arial" w:cs="Arial"/>
          <w:sz w:val="24"/>
          <w:szCs w:val="24"/>
        </w:rPr>
        <w:t xml:space="preserve">Arquitectura, Urbanismo </w:t>
      </w:r>
      <w:r>
        <w:rPr>
          <w:rFonts w:ascii="Arial" w:hAnsi="Arial" w:cs="Arial"/>
          <w:sz w:val="24"/>
          <w:szCs w:val="24"/>
        </w:rPr>
        <w:t>y</w:t>
      </w:r>
      <w:r w:rsidRPr="00654E17">
        <w:rPr>
          <w:rFonts w:ascii="Arial" w:hAnsi="Arial" w:cs="Arial"/>
          <w:sz w:val="24"/>
          <w:szCs w:val="24"/>
        </w:rPr>
        <w:t xml:space="preserve"> Diseño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Estudios Sociales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Negocios Sociales</w:t>
      </w:r>
      <w:r>
        <w:rPr>
          <w:rFonts w:ascii="Arial" w:hAnsi="Arial" w:cs="Arial"/>
          <w:sz w:val="24"/>
          <w:szCs w:val="24"/>
        </w:rPr>
        <w:t xml:space="preserve">; </w:t>
      </w:r>
      <w:r w:rsidRPr="00654E17">
        <w:rPr>
          <w:rFonts w:ascii="Arial" w:hAnsi="Arial" w:cs="Arial"/>
          <w:sz w:val="24"/>
          <w:szCs w:val="24"/>
        </w:rPr>
        <w:t>Valuación</w:t>
      </w:r>
      <w:r>
        <w:rPr>
          <w:rFonts w:ascii="Arial" w:hAnsi="Arial" w:cs="Arial"/>
          <w:sz w:val="24"/>
          <w:szCs w:val="24"/>
        </w:rPr>
        <w:t xml:space="preserve">; Turismo; </w:t>
      </w:r>
      <w:r w:rsidRPr="00654E17">
        <w:rPr>
          <w:rFonts w:ascii="Arial" w:hAnsi="Arial" w:cs="Arial"/>
          <w:sz w:val="24"/>
          <w:szCs w:val="24"/>
        </w:rPr>
        <w:t xml:space="preserve">Sociedad, Espacio </w:t>
      </w:r>
      <w:r>
        <w:rPr>
          <w:rFonts w:ascii="Arial" w:hAnsi="Arial" w:cs="Arial"/>
          <w:sz w:val="24"/>
          <w:szCs w:val="24"/>
        </w:rPr>
        <w:t>y</w:t>
      </w:r>
      <w:r w:rsidRPr="00654E17">
        <w:rPr>
          <w:rFonts w:ascii="Arial" w:hAnsi="Arial" w:cs="Arial"/>
          <w:sz w:val="24"/>
          <w:szCs w:val="24"/>
        </w:rPr>
        <w:t xml:space="preserve"> Poder</w:t>
      </w:r>
      <w:r>
        <w:rPr>
          <w:rFonts w:ascii="Arial" w:hAnsi="Arial" w:cs="Arial"/>
          <w:sz w:val="24"/>
          <w:szCs w:val="24"/>
        </w:rPr>
        <w:t xml:space="preserve">, además de </w:t>
      </w:r>
      <w:r w:rsidRPr="00654E17">
        <w:rPr>
          <w:rFonts w:ascii="Arial" w:hAnsi="Arial" w:cs="Arial"/>
          <w:sz w:val="24"/>
          <w:szCs w:val="24"/>
        </w:rPr>
        <w:t xml:space="preserve">Nutrición </w:t>
      </w:r>
      <w:r>
        <w:rPr>
          <w:rFonts w:ascii="Arial" w:hAnsi="Arial" w:cs="Arial"/>
          <w:sz w:val="24"/>
          <w:szCs w:val="24"/>
        </w:rPr>
        <w:t>y</w:t>
      </w:r>
      <w:r w:rsidRPr="00654E17">
        <w:rPr>
          <w:rFonts w:ascii="Arial" w:hAnsi="Arial" w:cs="Arial"/>
          <w:sz w:val="24"/>
          <w:szCs w:val="24"/>
        </w:rPr>
        <w:t xml:space="preserve"> Ciencias de la Conducta</w:t>
      </w:r>
      <w:r>
        <w:rPr>
          <w:rFonts w:ascii="Arial" w:hAnsi="Arial" w:cs="Arial"/>
          <w:sz w:val="24"/>
          <w:szCs w:val="24"/>
        </w:rPr>
        <w:t>.</w:t>
      </w:r>
    </w:p>
    <w:p w:rsidR="00E52419" w:rsidRPr="002F13D1" w:rsidRDefault="00E52419" w:rsidP="00654E17">
      <w:pPr>
        <w:pStyle w:val="Ttulo1"/>
        <w:ind w:right="17"/>
        <w:jc w:val="both"/>
        <w:rPr>
          <w:rFonts w:ascii="Arial" w:hAnsi="Arial" w:cs="Arial"/>
          <w:b w:val="0"/>
          <w:sz w:val="16"/>
          <w:szCs w:val="16"/>
          <w:bdr w:val="none" w:sz="0" w:space="0" w:color="auto" w:frame="1"/>
        </w:rPr>
      </w:pPr>
    </w:p>
    <w:p w:rsidR="00E52419" w:rsidRPr="00654E17" w:rsidRDefault="00E52419" w:rsidP="00654E17">
      <w:pPr>
        <w:pStyle w:val="Ttulo1"/>
        <w:ind w:right="17"/>
        <w:jc w:val="both"/>
        <w:rPr>
          <w:rFonts w:ascii="Arial" w:hAnsi="Arial" w:cs="Arial"/>
          <w:b w:val="0"/>
          <w:sz w:val="24"/>
          <w:lang w:eastAsia="es-MX"/>
        </w:rPr>
      </w:pPr>
      <w:r w:rsidRPr="002F13D1">
        <w:rPr>
          <w:rFonts w:ascii="Arial" w:hAnsi="Arial" w:cs="Arial"/>
          <w:b w:val="0"/>
          <w:sz w:val="24"/>
          <w:bdr w:val="none" w:sz="0" w:space="0" w:color="auto" w:frame="1"/>
        </w:rPr>
        <w:t xml:space="preserve">La </w:t>
      </w:r>
      <w:r w:rsidRPr="002F13D1">
        <w:rPr>
          <w:rFonts w:ascii="Arial" w:hAnsi="Arial" w:cs="Arial"/>
          <w:b w:val="0"/>
          <w:sz w:val="24"/>
          <w:lang w:eastAsia="es-MX"/>
        </w:rPr>
        <w:t>especialidad es el programa educativo que tiene como objetivo actualizar y/o ampliar los</w:t>
      </w:r>
      <w:r w:rsidRPr="00654E17">
        <w:rPr>
          <w:rFonts w:ascii="Arial" w:hAnsi="Arial" w:cs="Arial"/>
          <w:b w:val="0"/>
          <w:sz w:val="24"/>
          <w:lang w:eastAsia="es-MX"/>
        </w:rPr>
        <w:t xml:space="preserve"> conocimientos del alumno, y desarrollar las habilidades y destrezas que requiere en el ejercicio profesional de un área específica del conocimiento, con un carácter eminentemente aplicativo, lo que constituye una profundización académica en la formación de profesionales.</w:t>
      </w:r>
    </w:p>
    <w:p w:rsidR="00E52419" w:rsidRPr="002F13D1" w:rsidRDefault="00E52419" w:rsidP="00654E17">
      <w:pPr>
        <w:pStyle w:val="Ttulo1"/>
        <w:ind w:right="17"/>
        <w:jc w:val="both"/>
        <w:rPr>
          <w:rFonts w:ascii="Arial" w:hAnsi="Arial" w:cs="Arial"/>
          <w:sz w:val="16"/>
          <w:szCs w:val="16"/>
          <w:lang w:eastAsia="es-MX"/>
        </w:rPr>
      </w:pPr>
    </w:p>
    <w:p w:rsidR="00E52419" w:rsidRPr="00654E17" w:rsidRDefault="00E52419" w:rsidP="00654E1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 w:rsidRPr="00654E17">
        <w:rPr>
          <w:rFonts w:ascii="Arial" w:hAnsi="Arial" w:cs="Arial"/>
          <w:sz w:val="24"/>
          <w:szCs w:val="24"/>
        </w:rPr>
        <w:t xml:space="preserve">Los programas de posgrado de nivel maestría pueden ser ofertados en dos modalidades: </w:t>
      </w:r>
      <w:r w:rsidRPr="00654E17">
        <w:rPr>
          <w:rFonts w:ascii="Arial" w:hAnsi="Arial" w:cs="Arial"/>
          <w:bCs/>
          <w:sz w:val="24"/>
          <w:szCs w:val="24"/>
        </w:rPr>
        <w:t>Maestría con orientación a la investigación</w:t>
      </w:r>
      <w:r w:rsidRPr="00654E17">
        <w:rPr>
          <w:rFonts w:ascii="Arial" w:hAnsi="Arial" w:cs="Arial"/>
          <w:sz w:val="24"/>
          <w:szCs w:val="24"/>
        </w:rPr>
        <w:t xml:space="preserve"> es el programa educativo que tiene como objetivo dar al alumno una formación ética y capacidades teóricas, técnicas y metodológicas, conduciéndolo en el desarrollo de la investigación científica, humanística o del desarrollo tecnológico; y </w:t>
      </w:r>
      <w:r w:rsidRPr="00654E17">
        <w:rPr>
          <w:rFonts w:ascii="Arial" w:hAnsi="Arial" w:cs="Arial"/>
          <w:bCs/>
          <w:sz w:val="24"/>
          <w:szCs w:val="24"/>
        </w:rPr>
        <w:t>Maestría con orientación profesional</w:t>
      </w:r>
      <w:r w:rsidRPr="00654E17">
        <w:rPr>
          <w:rFonts w:ascii="Arial" w:hAnsi="Arial" w:cs="Arial"/>
          <w:sz w:val="24"/>
          <w:szCs w:val="24"/>
        </w:rPr>
        <w:t> es el programa educativo que tiene como objetivo dar al alumno una formación ética y capacidades teóricas, técnicas y metodológicas para la solución de problemas específicos con una visión integral en su ejercicio profesional.</w:t>
      </w:r>
    </w:p>
    <w:p w:rsidR="00E52419" w:rsidRPr="002F13D1" w:rsidRDefault="00E52419" w:rsidP="00654E1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E52419" w:rsidRPr="00654E17" w:rsidRDefault="00E52419" w:rsidP="00654E1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 w:rsidRPr="00654E17">
        <w:rPr>
          <w:rFonts w:ascii="Arial" w:hAnsi="Arial" w:cs="Arial"/>
          <w:bCs/>
          <w:sz w:val="24"/>
          <w:szCs w:val="24"/>
        </w:rPr>
        <w:t>Mientras que el Doctorado</w:t>
      </w:r>
      <w:r w:rsidRPr="00654E17">
        <w:rPr>
          <w:rFonts w:ascii="Arial" w:hAnsi="Arial" w:cs="Arial"/>
          <w:sz w:val="24"/>
          <w:szCs w:val="24"/>
        </w:rPr>
        <w:t> es el programa educativo cuyo grado académico es el más alto que otorga la Universidad, y que tiene la finalidad de preparar investigadores que desarrollen investigación original en forma independiente o en equipo, de manera que permitan el avance del conocimiento.</w:t>
      </w:r>
    </w:p>
    <w:p w:rsidR="00E52419" w:rsidRPr="002F13D1" w:rsidRDefault="00E52419" w:rsidP="00654E1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E52419" w:rsidRDefault="00183B85" w:rsidP="00654E1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 w:rsidRPr="00654E17">
        <w:rPr>
          <w:rFonts w:ascii="Arial" w:hAnsi="Arial" w:cs="Arial"/>
          <w:sz w:val="24"/>
          <w:szCs w:val="24"/>
        </w:rPr>
        <w:t>Cuando un</w:t>
      </w:r>
      <w:r w:rsidR="00E52419" w:rsidRPr="00654E17">
        <w:rPr>
          <w:rFonts w:ascii="Arial" w:hAnsi="Arial" w:cs="Arial"/>
          <w:sz w:val="24"/>
          <w:szCs w:val="24"/>
        </w:rPr>
        <w:t xml:space="preserve"> </w:t>
      </w:r>
      <w:r w:rsidRPr="00654E17">
        <w:rPr>
          <w:rFonts w:ascii="Arial" w:hAnsi="Arial" w:cs="Arial"/>
          <w:sz w:val="24"/>
          <w:szCs w:val="24"/>
        </w:rPr>
        <w:t xml:space="preserve">mismo </w:t>
      </w:r>
      <w:r w:rsidR="00E52419" w:rsidRPr="00654E17">
        <w:rPr>
          <w:rFonts w:ascii="Arial" w:hAnsi="Arial" w:cs="Arial"/>
          <w:sz w:val="24"/>
          <w:szCs w:val="24"/>
        </w:rPr>
        <w:t xml:space="preserve">programa de posgrado </w:t>
      </w:r>
      <w:r w:rsidRPr="00654E17">
        <w:rPr>
          <w:rFonts w:ascii="Arial" w:hAnsi="Arial" w:cs="Arial"/>
          <w:sz w:val="24"/>
          <w:szCs w:val="24"/>
        </w:rPr>
        <w:t>es</w:t>
      </w:r>
      <w:r w:rsidR="00E52419" w:rsidRPr="00654E17">
        <w:rPr>
          <w:rFonts w:ascii="Arial" w:hAnsi="Arial" w:cs="Arial"/>
          <w:sz w:val="24"/>
          <w:szCs w:val="24"/>
        </w:rPr>
        <w:t xml:space="preserve"> ofertado por </w:t>
      </w:r>
      <w:r w:rsidRPr="00654E17">
        <w:rPr>
          <w:rFonts w:ascii="Arial" w:hAnsi="Arial" w:cs="Arial"/>
          <w:sz w:val="24"/>
          <w:szCs w:val="24"/>
        </w:rPr>
        <w:t>varias</w:t>
      </w:r>
      <w:r w:rsidR="00E52419" w:rsidRPr="00654E17">
        <w:rPr>
          <w:rFonts w:ascii="Arial" w:hAnsi="Arial" w:cs="Arial"/>
          <w:sz w:val="24"/>
          <w:szCs w:val="24"/>
        </w:rPr>
        <w:t xml:space="preserve"> unidades académicas, se denomina Programa de </w:t>
      </w:r>
      <w:r w:rsidRPr="00654E17">
        <w:rPr>
          <w:rFonts w:ascii="Arial" w:hAnsi="Arial" w:cs="Arial"/>
          <w:sz w:val="24"/>
          <w:szCs w:val="24"/>
        </w:rPr>
        <w:t xml:space="preserve">Posgrado </w:t>
      </w:r>
      <w:r w:rsidR="00857EA5" w:rsidRPr="00654E17">
        <w:rPr>
          <w:rFonts w:ascii="Arial" w:hAnsi="Arial" w:cs="Arial"/>
          <w:sz w:val="24"/>
          <w:szCs w:val="24"/>
        </w:rPr>
        <w:t>Multisede</w:t>
      </w:r>
      <w:r w:rsidRPr="00654E17">
        <w:rPr>
          <w:rFonts w:ascii="Arial" w:hAnsi="Arial" w:cs="Arial"/>
          <w:sz w:val="24"/>
          <w:szCs w:val="24"/>
        </w:rPr>
        <w:t>, ya que</w:t>
      </w:r>
      <w:r w:rsidR="00E52419" w:rsidRPr="00654E17">
        <w:rPr>
          <w:rFonts w:ascii="Arial" w:hAnsi="Arial" w:cs="Arial"/>
          <w:sz w:val="24"/>
          <w:szCs w:val="24"/>
        </w:rPr>
        <w:t xml:space="preserve"> se unen recursos académicos, de infraestructura y líneas de trabajo o investigación para ampliar la oferta educativa en la entidad.</w:t>
      </w:r>
    </w:p>
    <w:p w:rsidR="00F93875" w:rsidRPr="001D5B2C" w:rsidRDefault="00F93875" w:rsidP="00654E1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F93875" w:rsidRPr="00654E17" w:rsidRDefault="00F93875" w:rsidP="00654E17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Juan Guillermo Vaca Rodríguez, coordinador general de Posgrado e Investigación</w:t>
      </w:r>
      <w:r w:rsidR="001D5B2C">
        <w:rPr>
          <w:rFonts w:ascii="Arial" w:hAnsi="Arial" w:cs="Arial"/>
          <w:sz w:val="24"/>
          <w:szCs w:val="24"/>
        </w:rPr>
        <w:t>, señaló que los interesados en cursar uno de los posgrados que ofrece la UABC</w:t>
      </w:r>
      <w:r w:rsidR="00F90B87">
        <w:rPr>
          <w:rFonts w:ascii="Arial" w:hAnsi="Arial" w:cs="Arial"/>
          <w:sz w:val="24"/>
          <w:szCs w:val="24"/>
        </w:rPr>
        <w:t xml:space="preserve"> y verificar si existe posibilidad de beca otorgada por el Conacyt</w:t>
      </w:r>
      <w:r w:rsidR="005A3315">
        <w:rPr>
          <w:rFonts w:ascii="Arial" w:hAnsi="Arial" w:cs="Arial"/>
          <w:sz w:val="24"/>
          <w:szCs w:val="24"/>
        </w:rPr>
        <w:t>,</w:t>
      </w:r>
      <w:r w:rsidR="001D5B2C">
        <w:rPr>
          <w:rFonts w:ascii="Arial" w:hAnsi="Arial" w:cs="Arial"/>
          <w:sz w:val="24"/>
          <w:szCs w:val="24"/>
        </w:rPr>
        <w:t xml:space="preserve"> </w:t>
      </w:r>
      <w:r w:rsidR="000D5BF5">
        <w:rPr>
          <w:rFonts w:ascii="Arial" w:hAnsi="Arial" w:cs="Arial"/>
          <w:sz w:val="24"/>
          <w:szCs w:val="24"/>
        </w:rPr>
        <w:t>pueden</w:t>
      </w:r>
      <w:r w:rsidR="001D5B2C">
        <w:rPr>
          <w:rFonts w:ascii="Arial" w:hAnsi="Arial" w:cs="Arial"/>
          <w:sz w:val="24"/>
          <w:szCs w:val="24"/>
        </w:rPr>
        <w:t xml:space="preserve"> solicitar información </w:t>
      </w:r>
      <w:r w:rsidR="005A3315">
        <w:rPr>
          <w:rFonts w:ascii="Arial" w:hAnsi="Arial" w:cs="Arial"/>
          <w:sz w:val="24"/>
          <w:szCs w:val="24"/>
        </w:rPr>
        <w:t>en la unidad académica donde se imparte el programa educativo</w:t>
      </w:r>
      <w:r w:rsidR="00F90B87">
        <w:rPr>
          <w:rFonts w:ascii="Arial" w:hAnsi="Arial" w:cs="Arial"/>
          <w:sz w:val="24"/>
          <w:szCs w:val="24"/>
        </w:rPr>
        <w:t>.</w:t>
      </w:r>
      <w:r w:rsidR="005A3315">
        <w:rPr>
          <w:rFonts w:ascii="Arial" w:hAnsi="Arial" w:cs="Arial"/>
          <w:sz w:val="24"/>
          <w:szCs w:val="24"/>
        </w:rPr>
        <w:t xml:space="preserve"> </w:t>
      </w:r>
    </w:p>
    <w:p w:rsidR="00E52419" w:rsidRPr="002F13D1" w:rsidRDefault="00E52419" w:rsidP="00654E17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:rsidR="008F5D9B" w:rsidRPr="00432217" w:rsidRDefault="00E52419" w:rsidP="002F13D1">
      <w:pPr>
        <w:shd w:val="clear" w:color="auto" w:fill="FFFFFF"/>
        <w:autoSpaceDN/>
        <w:jc w:val="both"/>
        <w:rPr>
          <w:rFonts w:cs="Arial"/>
          <w:sz w:val="24"/>
          <w:szCs w:val="24"/>
        </w:rPr>
      </w:pPr>
      <w:r w:rsidRPr="00654E17">
        <w:rPr>
          <w:rFonts w:ascii="Arial" w:hAnsi="Arial" w:cs="Arial"/>
          <w:sz w:val="24"/>
          <w:szCs w:val="24"/>
        </w:rPr>
        <w:t xml:space="preserve">Para mayor información, consultar la página de la Coordinación General de Posgrado e Investigación: </w:t>
      </w:r>
      <w:hyperlink r:id="rId10" w:history="1">
        <w:r w:rsidRPr="00654E17">
          <w:rPr>
            <w:rStyle w:val="Hipervnculo"/>
            <w:rFonts w:ascii="Arial" w:hAnsi="Arial" w:cs="Arial"/>
            <w:sz w:val="24"/>
            <w:szCs w:val="24"/>
          </w:rPr>
          <w:t>http://cimarron.mxl.uabc.mx/</w:t>
        </w:r>
      </w:hyperlink>
    </w:p>
    <w:p w:rsidR="00F174B9" w:rsidRPr="00432217" w:rsidRDefault="00F174B9" w:rsidP="00F03BD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F174B9" w:rsidRPr="00432217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BB3" w:rsidRDefault="00EB1BB3">
      <w:r>
        <w:separator/>
      </w:r>
    </w:p>
  </w:endnote>
  <w:endnote w:type="continuationSeparator" w:id="0">
    <w:p w:rsidR="00EB1BB3" w:rsidRDefault="00EB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BB3" w:rsidRDefault="00EB1BB3">
      <w:r>
        <w:rPr>
          <w:color w:val="000000"/>
        </w:rPr>
        <w:separator/>
      </w:r>
    </w:p>
  </w:footnote>
  <w:footnote w:type="continuationSeparator" w:id="0">
    <w:p w:rsidR="00EB1BB3" w:rsidRDefault="00EB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C89"/>
    <w:multiLevelType w:val="hybridMultilevel"/>
    <w:tmpl w:val="4BB01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5"/>
  </w:num>
  <w:num w:numId="4">
    <w:abstractNumId w:val="20"/>
  </w:num>
  <w:num w:numId="5">
    <w:abstractNumId w:val="31"/>
  </w:num>
  <w:num w:numId="6">
    <w:abstractNumId w:val="3"/>
  </w:num>
  <w:num w:numId="7">
    <w:abstractNumId w:val="19"/>
  </w:num>
  <w:num w:numId="8">
    <w:abstractNumId w:val="16"/>
  </w:num>
  <w:num w:numId="9">
    <w:abstractNumId w:val="2"/>
  </w:num>
  <w:num w:numId="10">
    <w:abstractNumId w:val="8"/>
  </w:num>
  <w:num w:numId="11">
    <w:abstractNumId w:val="7"/>
  </w:num>
  <w:num w:numId="12">
    <w:abstractNumId w:val="14"/>
  </w:num>
  <w:num w:numId="13">
    <w:abstractNumId w:val="23"/>
  </w:num>
  <w:num w:numId="14">
    <w:abstractNumId w:val="1"/>
  </w:num>
  <w:num w:numId="15">
    <w:abstractNumId w:val="10"/>
  </w:num>
  <w:num w:numId="16">
    <w:abstractNumId w:val="24"/>
  </w:num>
  <w:num w:numId="17">
    <w:abstractNumId w:val="9"/>
  </w:num>
  <w:num w:numId="18">
    <w:abstractNumId w:val="11"/>
  </w:num>
  <w:num w:numId="19">
    <w:abstractNumId w:val="28"/>
  </w:num>
  <w:num w:numId="20">
    <w:abstractNumId w:val="21"/>
  </w:num>
  <w:num w:numId="21">
    <w:abstractNumId w:val="29"/>
  </w:num>
  <w:num w:numId="22">
    <w:abstractNumId w:val="26"/>
  </w:num>
  <w:num w:numId="23">
    <w:abstractNumId w:val="12"/>
  </w:num>
  <w:num w:numId="24">
    <w:abstractNumId w:val="27"/>
  </w:num>
  <w:num w:numId="25">
    <w:abstractNumId w:val="17"/>
  </w:num>
  <w:num w:numId="26">
    <w:abstractNumId w:val="15"/>
  </w:num>
  <w:num w:numId="27">
    <w:abstractNumId w:val="30"/>
  </w:num>
  <w:num w:numId="28">
    <w:abstractNumId w:val="18"/>
  </w:num>
  <w:num w:numId="29">
    <w:abstractNumId w:val="25"/>
  </w:num>
  <w:num w:numId="30">
    <w:abstractNumId w:val="4"/>
  </w:num>
  <w:num w:numId="31">
    <w:abstractNumId w:val="6"/>
  </w:num>
  <w:num w:numId="3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90A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5BF5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8E6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B2C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48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318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3D1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315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453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1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57EA5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C4D"/>
    <w:rsid w:val="008D32F6"/>
    <w:rsid w:val="008D3817"/>
    <w:rsid w:val="008D49C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0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01B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2D81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1BB3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B87"/>
    <w:rsid w:val="00F90EB9"/>
    <w:rsid w:val="00F91914"/>
    <w:rsid w:val="00F92048"/>
    <w:rsid w:val="00F92600"/>
    <w:rsid w:val="00F936E9"/>
    <w:rsid w:val="00F93875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0E1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imarron.mxl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2ED56-59D9-4F90-98C8-1930CEA2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2792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/>
      <vt:lpstr>Mexicali, B.C., miércoles 17 de julio de 2019.- La Universidad Autónoma de Baja </vt:lpstr>
      <vt:lpstr/>
      <vt:lpstr>La especialidad es el programa educativo que tiene como objetivo actualizar y/o </vt:lpstr>
      <vt:lpstr/>
      <vt:lpstr/>
    </vt:vector>
  </TitlesOfParts>
  <Company>Microsoft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2019-06-04T21:58:00Z</cp:lastPrinted>
  <dcterms:created xsi:type="dcterms:W3CDTF">2019-07-08T22:11:00Z</dcterms:created>
  <dcterms:modified xsi:type="dcterms:W3CDTF">2019-07-08T22:11:00Z</dcterms:modified>
</cp:coreProperties>
</file>