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F3A26">
        <w:rPr>
          <w:rFonts w:ascii="Arial" w:hAnsi="Arial" w:cs="Arial"/>
          <w:b/>
          <w:sz w:val="24"/>
          <w:szCs w:val="24"/>
        </w:rPr>
        <w:t>41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5B516F" w:rsidRDefault="000B6811" w:rsidP="0037105A">
      <w:pPr>
        <w:jc w:val="center"/>
        <w:rPr>
          <w:rFonts w:ascii="Arial" w:hAnsi="Arial" w:cs="Arial"/>
          <w:b/>
          <w:sz w:val="8"/>
          <w:szCs w:val="8"/>
          <w:lang w:val="es-ES"/>
        </w:rPr>
      </w:pPr>
    </w:p>
    <w:p w:rsidR="005B516F" w:rsidRPr="005B516F" w:rsidRDefault="003206E9" w:rsidP="003206E9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m_-5238502928389975327_m_-44972590350204"/>
      <w:bookmarkEnd w:id="0"/>
      <w:r w:rsidRPr="005B516F">
        <w:rPr>
          <w:rFonts w:ascii="Arial" w:hAnsi="Arial" w:cs="Arial"/>
          <w:b/>
          <w:sz w:val="36"/>
          <w:szCs w:val="24"/>
        </w:rPr>
        <w:t xml:space="preserve">Mantener una alimentación adecuada </w:t>
      </w:r>
    </w:p>
    <w:p w:rsidR="003206E9" w:rsidRDefault="003206E9" w:rsidP="003206E9">
      <w:pPr>
        <w:jc w:val="center"/>
        <w:rPr>
          <w:rFonts w:ascii="Arial" w:hAnsi="Arial" w:cs="Arial"/>
          <w:b/>
          <w:sz w:val="36"/>
          <w:szCs w:val="24"/>
        </w:rPr>
      </w:pPr>
      <w:r w:rsidRPr="005B516F">
        <w:rPr>
          <w:rFonts w:ascii="Arial" w:hAnsi="Arial" w:cs="Arial"/>
          <w:b/>
          <w:sz w:val="36"/>
          <w:szCs w:val="24"/>
        </w:rPr>
        <w:t>fortalece el sistema inmune</w:t>
      </w:r>
    </w:p>
    <w:p w:rsidR="005B516F" w:rsidRPr="005B516F" w:rsidRDefault="005B516F" w:rsidP="003206E9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3206E9" w:rsidRPr="005B516F" w:rsidRDefault="003206E9" w:rsidP="005B516F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>Contribuye a repele</w:t>
      </w:r>
      <w:r w:rsidR="005B516F" w:rsidRPr="005B516F">
        <w:rPr>
          <w:rFonts w:ascii="Arial" w:hAnsi="Arial" w:cs="Arial"/>
          <w:sz w:val="24"/>
          <w:szCs w:val="24"/>
        </w:rPr>
        <w:t>r</w:t>
      </w:r>
      <w:r w:rsidRPr="005B516F">
        <w:rPr>
          <w:rFonts w:ascii="Arial" w:hAnsi="Arial" w:cs="Arial"/>
          <w:sz w:val="24"/>
          <w:szCs w:val="24"/>
        </w:rPr>
        <w:t xml:space="preserve"> virus, bacterias y microorganismos que causan enfermedades</w:t>
      </w:r>
      <w:r w:rsidR="005B516F" w:rsidRPr="005B516F">
        <w:rPr>
          <w:rFonts w:ascii="Arial" w:hAnsi="Arial" w:cs="Arial"/>
          <w:sz w:val="24"/>
          <w:szCs w:val="24"/>
        </w:rPr>
        <w:t>.</w:t>
      </w:r>
    </w:p>
    <w:p w:rsidR="003206E9" w:rsidRPr="005B516F" w:rsidRDefault="003206E9" w:rsidP="003206E9">
      <w:pPr>
        <w:jc w:val="both"/>
        <w:rPr>
          <w:rFonts w:ascii="Arial" w:hAnsi="Arial" w:cs="Arial"/>
          <w:b/>
          <w:sz w:val="16"/>
          <w:szCs w:val="16"/>
        </w:rPr>
      </w:pPr>
    </w:p>
    <w:p w:rsidR="003206E9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b/>
          <w:sz w:val="24"/>
          <w:szCs w:val="24"/>
        </w:rPr>
        <w:t>M</w:t>
      </w:r>
      <w:r w:rsidR="005B516F" w:rsidRPr="005B516F">
        <w:rPr>
          <w:rFonts w:ascii="Arial" w:hAnsi="Arial" w:cs="Arial"/>
          <w:b/>
          <w:sz w:val="24"/>
          <w:szCs w:val="24"/>
        </w:rPr>
        <w:t>exicali, B.C., viernes 3 de abril de 2020</w:t>
      </w:r>
      <w:r w:rsidR="005B516F">
        <w:rPr>
          <w:rFonts w:ascii="Arial" w:hAnsi="Arial" w:cs="Arial"/>
          <w:sz w:val="24"/>
          <w:szCs w:val="24"/>
        </w:rPr>
        <w:t>.- M</w:t>
      </w:r>
      <w:r w:rsidRPr="005B516F">
        <w:rPr>
          <w:rFonts w:ascii="Arial" w:hAnsi="Arial" w:cs="Arial"/>
          <w:sz w:val="24"/>
          <w:szCs w:val="24"/>
        </w:rPr>
        <w:t>antener una adecuada alimentación mejora el sistema inmunológico y ayuda a que una persona se mantenga saludable</w:t>
      </w:r>
      <w:r w:rsidR="00ED4AEA">
        <w:rPr>
          <w:rFonts w:ascii="Arial" w:hAnsi="Arial" w:cs="Arial"/>
          <w:sz w:val="24"/>
          <w:szCs w:val="24"/>
        </w:rPr>
        <w:t>,</w:t>
      </w:r>
      <w:r w:rsidRPr="005B516F">
        <w:rPr>
          <w:rFonts w:ascii="Arial" w:hAnsi="Arial" w:cs="Arial"/>
          <w:sz w:val="24"/>
          <w:szCs w:val="24"/>
        </w:rPr>
        <w:t xml:space="preserve"> lo que le permitirá a su organismo repeler virus, bacterias y microorganismos que causan enfermedades como el coronavirus. La doctora María Esther Mejía León, coordinadora de la Maestría en Ciencias en Biomedicina y profesora de tiempo completo en la Facultad de Medicina de la Universidad Autónoma de Baja California (UABC) recomendó a la población consumir alimentos variados y seguir una dieta basada en el plato del buen comer.</w:t>
      </w:r>
    </w:p>
    <w:p w:rsidR="005B516F" w:rsidRPr="005B516F" w:rsidRDefault="005B516F" w:rsidP="003206E9">
      <w:pPr>
        <w:jc w:val="both"/>
        <w:rPr>
          <w:rFonts w:ascii="Arial" w:hAnsi="Arial" w:cs="Arial"/>
          <w:sz w:val="16"/>
          <w:szCs w:val="16"/>
        </w:rPr>
      </w:pPr>
    </w:p>
    <w:p w:rsidR="003206E9" w:rsidRDefault="005B516F" w:rsidP="003206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206E9" w:rsidRPr="005B516F">
        <w:rPr>
          <w:rFonts w:ascii="Arial" w:hAnsi="Arial" w:cs="Arial"/>
          <w:sz w:val="24"/>
          <w:szCs w:val="24"/>
        </w:rPr>
        <w:t xml:space="preserve">xplicó que existe una relación bidireccional estrecha entre </w:t>
      </w:r>
      <w:r>
        <w:rPr>
          <w:rFonts w:ascii="Arial" w:hAnsi="Arial" w:cs="Arial"/>
          <w:sz w:val="24"/>
          <w:szCs w:val="24"/>
        </w:rPr>
        <w:t xml:space="preserve">la dieta y el funcionamiento del </w:t>
      </w:r>
      <w:r w:rsidR="003206E9" w:rsidRPr="005B516F">
        <w:rPr>
          <w:rFonts w:ascii="Arial" w:hAnsi="Arial" w:cs="Arial"/>
          <w:sz w:val="24"/>
          <w:szCs w:val="24"/>
        </w:rPr>
        <w:t xml:space="preserve">sistema inmune, también conocido como sistema de defensa. </w:t>
      </w:r>
      <w:r>
        <w:rPr>
          <w:rFonts w:ascii="Arial" w:hAnsi="Arial" w:cs="Arial"/>
          <w:sz w:val="24"/>
          <w:szCs w:val="24"/>
        </w:rPr>
        <w:t>“</w:t>
      </w:r>
      <w:r w:rsidR="003206E9" w:rsidRPr="005B516F">
        <w:rPr>
          <w:rFonts w:ascii="Arial" w:hAnsi="Arial" w:cs="Arial"/>
          <w:sz w:val="24"/>
          <w:szCs w:val="24"/>
        </w:rPr>
        <w:t>Nosotros requerimos una adecuada alimentación para que las células de este sistema puedan llevar a cabo su función, sinteticen anticuerpos, liberen moléculas y activen vías cuyo objetivo final es protegernos contra infecciones y agentes extraños”.</w:t>
      </w:r>
    </w:p>
    <w:p w:rsidR="005B516F" w:rsidRPr="005B516F" w:rsidRDefault="005B516F" w:rsidP="003206E9">
      <w:pPr>
        <w:jc w:val="both"/>
        <w:rPr>
          <w:rFonts w:ascii="Arial" w:hAnsi="Arial" w:cs="Arial"/>
          <w:sz w:val="16"/>
          <w:szCs w:val="16"/>
        </w:rPr>
      </w:pPr>
    </w:p>
    <w:p w:rsidR="003206E9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>La académica recomendó llevar una dieta correcta, la cual debe cumplir las siguientes características: “que sea completa, es decir que contenga todos los nutrientes que requerimos, lo cual podemos lograr al combinar los tres grupos de alimentos (cereales, frutas y verduras, así como leguminosas y alimentos de origen animal); que sea equilibrada, lo que implica que los alimentos deben de incluirse en las porciones adecuadas; que sea inocua para que su consumo no nos cause daño; suficiente, para que cubra nuestras necesidades básicas; adecuada a la edad, costumbres y características de la persona; y que sea variada, al incluir diferentes alimentos de cada grupo en las distintas comidas. Por ejemplo, en el caso de las frutas y verduras, obtenemos mayores beneficios cuando consumimos de todos los colores del arcoiris y los vamos alternando en los diferentes platillos que consumimos”.</w:t>
      </w:r>
    </w:p>
    <w:p w:rsidR="005B516F" w:rsidRPr="005B516F" w:rsidRDefault="005B516F" w:rsidP="003206E9">
      <w:pPr>
        <w:jc w:val="both"/>
        <w:rPr>
          <w:rFonts w:ascii="Arial" w:hAnsi="Arial" w:cs="Arial"/>
          <w:sz w:val="16"/>
          <w:szCs w:val="16"/>
        </w:rPr>
      </w:pPr>
    </w:p>
    <w:p w:rsidR="005B516F" w:rsidRDefault="000B7F17" w:rsidP="003206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Expuso que n</w:t>
      </w:r>
      <w:r w:rsidR="003206E9" w:rsidRPr="005B516F">
        <w:rPr>
          <w:rFonts w:ascii="Arial" w:hAnsi="Arial" w:cs="Arial"/>
          <w:sz w:val="24"/>
          <w:szCs w:val="24"/>
        </w:rPr>
        <w:t xml:space="preserve">o existe un alimento o grupo de alimentos en específico recomendados para prevenir el contagio de COVID-19. </w:t>
      </w:r>
      <w:r>
        <w:rPr>
          <w:rFonts w:ascii="Arial" w:hAnsi="Arial" w:cs="Arial"/>
          <w:sz w:val="24"/>
          <w:szCs w:val="24"/>
        </w:rPr>
        <w:t>“</w:t>
      </w:r>
      <w:r w:rsidR="003206E9" w:rsidRPr="005B516F">
        <w:rPr>
          <w:rFonts w:ascii="Arial" w:hAnsi="Arial" w:cs="Arial"/>
          <w:sz w:val="24"/>
          <w:szCs w:val="24"/>
        </w:rPr>
        <w:t>Lo que debe promoverse es incluir en nuestra dieta todos los nutrientes, incluyendo vitaminas y minerales como vitamina A, ácido fólico, vitaminas B6, B12, C y E, hierro, selenio, cobre y zinc. Para ello, podemos tomar de guía el plato del bien comer, que nos da una idea de cómo combinar y en qué proporciones d</w:t>
      </w:r>
      <w:r>
        <w:rPr>
          <w:rFonts w:ascii="Arial" w:hAnsi="Arial" w:cs="Arial"/>
          <w:sz w:val="24"/>
          <w:szCs w:val="24"/>
        </w:rPr>
        <w:t>ebemos consumir los alimentos”.</w:t>
      </w:r>
    </w:p>
    <w:p w:rsidR="000B7F17" w:rsidRPr="005B516F" w:rsidRDefault="000B7F17" w:rsidP="003206E9">
      <w:pPr>
        <w:jc w:val="both"/>
        <w:rPr>
          <w:rFonts w:ascii="Arial" w:hAnsi="Arial" w:cs="Arial"/>
          <w:sz w:val="16"/>
          <w:szCs w:val="16"/>
        </w:rPr>
      </w:pPr>
    </w:p>
    <w:p w:rsidR="003206E9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>Señaló</w:t>
      </w:r>
      <w:r w:rsidR="000B7F17">
        <w:rPr>
          <w:rFonts w:ascii="Arial" w:hAnsi="Arial" w:cs="Arial"/>
          <w:sz w:val="24"/>
          <w:szCs w:val="24"/>
        </w:rPr>
        <w:t xml:space="preserve"> que recientemente </w:t>
      </w:r>
      <w:r w:rsidRPr="005B516F">
        <w:rPr>
          <w:rFonts w:ascii="Arial" w:hAnsi="Arial" w:cs="Arial"/>
          <w:sz w:val="24"/>
          <w:szCs w:val="24"/>
        </w:rPr>
        <w:t>la Academia Española de Nutrición y Dietética y el Consejo General de Colegios Oficiales de Dietistas-Nutricionistas</w:t>
      </w:r>
      <w:r w:rsidR="00ED4AEA">
        <w:rPr>
          <w:rFonts w:ascii="Arial" w:hAnsi="Arial" w:cs="Arial"/>
          <w:sz w:val="24"/>
          <w:szCs w:val="24"/>
        </w:rPr>
        <w:t>,</w:t>
      </w:r>
      <w:r w:rsidRPr="005B516F">
        <w:rPr>
          <w:rFonts w:ascii="Arial" w:hAnsi="Arial" w:cs="Arial"/>
          <w:sz w:val="24"/>
          <w:szCs w:val="24"/>
        </w:rPr>
        <w:t xml:space="preserve"> publicaron una guía de recomendaciones de alimentación ante la crisis sanitaria del COVID-19 y en ella destacan siete puntos clave: mantener una buena hidratación; tomar al menos cinco raciones entre frutas y verduras al día; elegir el consumo de productos integrales y legumbres; elegir productos lácteos (leche y leches fermentadas/yogur) preferentemente bajos en grasa; consumo moderado de otros alimentos de origen animal dentro de las recomendaciones saludables; elegir el consumo de frutos secos, semillas y aceite de oliva; evitar los alimentos precocinados y la comida rápida”.</w:t>
      </w:r>
    </w:p>
    <w:p w:rsidR="005B516F" w:rsidRDefault="005B516F" w:rsidP="003206E9">
      <w:pPr>
        <w:jc w:val="both"/>
        <w:rPr>
          <w:rFonts w:ascii="Arial" w:hAnsi="Arial" w:cs="Arial"/>
          <w:sz w:val="24"/>
          <w:szCs w:val="24"/>
        </w:rPr>
      </w:pPr>
    </w:p>
    <w:p w:rsidR="000B7F17" w:rsidRDefault="000B7F17" w:rsidP="003206E9">
      <w:pPr>
        <w:jc w:val="both"/>
        <w:rPr>
          <w:rFonts w:ascii="Arial" w:hAnsi="Arial" w:cs="Arial"/>
          <w:sz w:val="24"/>
          <w:szCs w:val="24"/>
        </w:rPr>
      </w:pPr>
    </w:p>
    <w:p w:rsidR="000B7F17" w:rsidRDefault="000B7F17" w:rsidP="003206E9">
      <w:pPr>
        <w:jc w:val="both"/>
        <w:rPr>
          <w:rFonts w:ascii="Arial" w:hAnsi="Arial" w:cs="Arial"/>
          <w:sz w:val="24"/>
          <w:szCs w:val="24"/>
        </w:rPr>
      </w:pPr>
    </w:p>
    <w:p w:rsidR="000B7F17" w:rsidRDefault="000B7F17" w:rsidP="003206E9">
      <w:pPr>
        <w:jc w:val="both"/>
        <w:rPr>
          <w:rFonts w:ascii="Arial" w:hAnsi="Arial" w:cs="Arial"/>
          <w:sz w:val="24"/>
          <w:szCs w:val="24"/>
        </w:rPr>
      </w:pPr>
    </w:p>
    <w:p w:rsidR="000B7F17" w:rsidRDefault="000B7F17" w:rsidP="003206E9">
      <w:pPr>
        <w:jc w:val="both"/>
        <w:rPr>
          <w:rFonts w:ascii="Arial" w:hAnsi="Arial" w:cs="Arial"/>
          <w:sz w:val="24"/>
          <w:szCs w:val="24"/>
        </w:rPr>
      </w:pPr>
    </w:p>
    <w:p w:rsidR="000B7F17" w:rsidRPr="005B516F" w:rsidRDefault="000B7F17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>“Además de lo ya mencionado, no hay evidencia científica que apoye el uso de suplementos, nutracéuticos, medicamentos, ni productos de herbolaria, que se hayan asociado a prevención del contagio o curación de la infección por COVID-19. Incluso se sabe que un exceso en la suplementación de vitaminas y minerales pudiera ocasionar efectos adversos en nuestro sistema inmune. Por lo tanto, no debemos recomendar la suplementación de estos nutrientes de forma generalizada para</w:t>
      </w:r>
      <w:r w:rsidR="00ED4AEA">
        <w:rPr>
          <w:rFonts w:ascii="Arial" w:hAnsi="Arial" w:cs="Arial"/>
          <w:sz w:val="24"/>
          <w:szCs w:val="24"/>
        </w:rPr>
        <w:t xml:space="preserve"> la</w:t>
      </w:r>
      <w:r w:rsidRPr="005B516F">
        <w:rPr>
          <w:rFonts w:ascii="Arial" w:hAnsi="Arial" w:cs="Arial"/>
          <w:sz w:val="24"/>
          <w:szCs w:val="24"/>
        </w:rPr>
        <w:t xml:space="preserve"> población, sino solo para casos específicos, donde deberán ser indicadas por profesionales de la salud”, añadió.</w:t>
      </w:r>
    </w:p>
    <w:p w:rsidR="005B516F" w:rsidRPr="005B516F" w:rsidRDefault="005B516F" w:rsidP="003206E9">
      <w:pPr>
        <w:jc w:val="both"/>
        <w:rPr>
          <w:rFonts w:ascii="Arial" w:hAnsi="Arial" w:cs="Arial"/>
          <w:sz w:val="24"/>
          <w:szCs w:val="24"/>
        </w:rPr>
      </w:pPr>
    </w:p>
    <w:p w:rsidR="000B7F17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>“Con respecto al uso de prebióticos, probióticos y/o simbióticos, tampoco existe evidencia hasta el momento de un efecto protector en infección por COVID-19, pero podemos promover tener una microbiota equilibrada, compuesta por bacterias benéficas, al cumplir con la recomendación de consumo de frutas</w:t>
      </w:r>
      <w:r w:rsidR="008318AD">
        <w:rPr>
          <w:rFonts w:ascii="Arial" w:hAnsi="Arial" w:cs="Arial"/>
          <w:sz w:val="24"/>
          <w:szCs w:val="24"/>
        </w:rPr>
        <w:t>,</w:t>
      </w:r>
      <w:r w:rsidRPr="005B516F">
        <w:rPr>
          <w:rFonts w:ascii="Arial" w:hAnsi="Arial" w:cs="Arial"/>
          <w:sz w:val="24"/>
          <w:szCs w:val="24"/>
        </w:rPr>
        <w:t xml:space="preserve"> verduras y alimentos integrales altos en fibra”, continuó la docente de la </w:t>
      </w:r>
      <w:r w:rsidR="008318AD">
        <w:rPr>
          <w:rFonts w:ascii="Arial" w:hAnsi="Arial" w:cs="Arial"/>
          <w:sz w:val="24"/>
          <w:szCs w:val="24"/>
        </w:rPr>
        <w:t>UABC</w:t>
      </w:r>
      <w:r w:rsidRPr="005B516F">
        <w:rPr>
          <w:rFonts w:ascii="Arial" w:hAnsi="Arial" w:cs="Arial"/>
          <w:sz w:val="24"/>
          <w:szCs w:val="24"/>
        </w:rPr>
        <w:t>.</w:t>
      </w:r>
      <w:r w:rsidR="00781AF9">
        <w:rPr>
          <w:rFonts w:ascii="Arial" w:hAnsi="Arial" w:cs="Arial"/>
          <w:sz w:val="24"/>
          <w:szCs w:val="24"/>
        </w:rPr>
        <w:t xml:space="preserve"> En el caso de las personas enfermas, refirió que la </w:t>
      </w:r>
      <w:r w:rsidRPr="005B516F">
        <w:rPr>
          <w:rFonts w:ascii="Arial" w:hAnsi="Arial" w:cs="Arial"/>
          <w:sz w:val="24"/>
          <w:szCs w:val="24"/>
        </w:rPr>
        <w:t xml:space="preserve">dieta solamente podría ayudar en el manejo de los síntomas de la enfermedad, pero en ningún caso tratarla. </w:t>
      </w:r>
    </w:p>
    <w:p w:rsidR="000B7F17" w:rsidRDefault="000B7F17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Default="00781AF9" w:rsidP="003206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206E9" w:rsidRPr="005B516F">
        <w:rPr>
          <w:rFonts w:ascii="Arial" w:hAnsi="Arial" w:cs="Arial"/>
          <w:sz w:val="24"/>
          <w:szCs w:val="24"/>
        </w:rPr>
        <w:t xml:space="preserve">Desde el punto de vista nutricional, a la fecha no existe un esquema definido de dietoterapia para manejo de pacientes con COVID-19. Sin embargo, las medidas nutricionales para las personas contagiadas deben enfocarse al control de signos y síntomas asociados, por ejemplo, mantener un adecuado nivel de hidratación del paciente, para favorecer el control de la fiebre y problemas respiratorios. Otro de los retos del manejo nutricional, es asegurar que el paciente </w:t>
      </w:r>
      <w:r w:rsidRPr="005B516F">
        <w:rPr>
          <w:rFonts w:ascii="Arial" w:hAnsi="Arial" w:cs="Arial"/>
          <w:sz w:val="24"/>
          <w:szCs w:val="24"/>
        </w:rPr>
        <w:t>continúe</w:t>
      </w:r>
      <w:r w:rsidR="003206E9" w:rsidRPr="005B516F">
        <w:rPr>
          <w:rFonts w:ascii="Arial" w:hAnsi="Arial" w:cs="Arial"/>
          <w:sz w:val="24"/>
          <w:szCs w:val="24"/>
        </w:rPr>
        <w:t xml:space="preserve"> teniendo una dieta adecuada en calidad y cantidad, ya que la infección por coronavirus puede ocasionar falta de apetito y, en consecuencia, una ingesta deficiente de alimentos, lo que pudiera complicar el curso de la enfermedad”.</w:t>
      </w:r>
    </w:p>
    <w:p w:rsidR="005B516F" w:rsidRPr="005B516F" w:rsidRDefault="005B516F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Default="00781AF9" w:rsidP="003206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ese mismo sentido, detalló que es</w:t>
      </w:r>
      <w:r w:rsidR="003206E9" w:rsidRPr="005B516F">
        <w:rPr>
          <w:rFonts w:ascii="Arial" w:hAnsi="Arial" w:cs="Arial"/>
          <w:sz w:val="24"/>
          <w:szCs w:val="24"/>
        </w:rPr>
        <w:t xml:space="preserve"> importante evitar hábitos nocivos como tabaquismo y alcoholismo, así como favorecer buena higiene del sueño. </w:t>
      </w:r>
      <w:r>
        <w:rPr>
          <w:rFonts w:ascii="Arial" w:hAnsi="Arial" w:cs="Arial"/>
          <w:sz w:val="24"/>
          <w:szCs w:val="24"/>
        </w:rPr>
        <w:t>“</w:t>
      </w:r>
      <w:r w:rsidR="003206E9" w:rsidRPr="005B516F">
        <w:rPr>
          <w:rFonts w:ascii="Arial" w:hAnsi="Arial" w:cs="Arial"/>
          <w:sz w:val="24"/>
          <w:szCs w:val="24"/>
        </w:rPr>
        <w:t>Es necesario que en estos días de cuarentena tengamos una rutina bien establecida y no alteremos nuestras horas de sueño. Se recomienda también realizar al menos 30 minutos de actividad física diaria en el domicilio e hidratarnos bien, con agua natural”, expuso.</w:t>
      </w:r>
    </w:p>
    <w:p w:rsidR="005B516F" w:rsidRPr="005B516F" w:rsidRDefault="005B516F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 xml:space="preserve">Igualmente, invitó a la población a extremar precauciones y seguir las recomendaciones de la Secretaría de Salud, como lavar todo lo comprado para la despensa antes de ponerlo en contacto con las áreas del hogar. </w:t>
      </w:r>
    </w:p>
    <w:p w:rsidR="005B516F" w:rsidRPr="005B516F" w:rsidRDefault="005B516F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Default="00781AF9" w:rsidP="003206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="003206E9" w:rsidRPr="005B516F">
        <w:rPr>
          <w:rFonts w:ascii="Arial" w:hAnsi="Arial" w:cs="Arial"/>
          <w:sz w:val="24"/>
          <w:szCs w:val="24"/>
        </w:rPr>
        <w:t>a clave está en la variedad en nuestros alimentos, en este periodo de cuarentena hay que utilizar lo que tenemos en casa y lo que podamos conseguir de manera sencilla, pues no es necesario seguir recetas de platillos sofisticados. Por ejemplo, podemos hacer tostadas de maíz horneadas con frijoles y pollo deshebrado, con lechuga y verduras de su preferencia; otra opción puede ser picadillo de carne molida con verduras y arroz; filete de pescado empapelado al horno con verduras, acompañado con tortillas de maíz, o algún caldo que incluya los diferentes grupos de alimentos. Las opciones son muchas y lo ideal es utilizar alimentos locales para terminar apoyando a la economía de nuestra comunidad”.</w:t>
      </w:r>
    </w:p>
    <w:p w:rsidR="005B516F" w:rsidRPr="005B516F" w:rsidRDefault="005B516F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Default="003206E9" w:rsidP="003206E9">
      <w:pPr>
        <w:jc w:val="both"/>
        <w:rPr>
          <w:rFonts w:ascii="Arial" w:hAnsi="Arial" w:cs="Arial"/>
          <w:sz w:val="24"/>
          <w:szCs w:val="24"/>
        </w:rPr>
      </w:pPr>
      <w:r w:rsidRPr="005B516F">
        <w:rPr>
          <w:rFonts w:ascii="Arial" w:hAnsi="Arial" w:cs="Arial"/>
          <w:sz w:val="24"/>
          <w:szCs w:val="24"/>
        </w:rPr>
        <w:t>La doctora Mejía León cuenta con el Doctorado en Ciencias en Nutrición y Metabolismo y es miembro del Sistema Nacional de Investigadores, Nivel 1.</w:t>
      </w:r>
    </w:p>
    <w:p w:rsidR="00756582" w:rsidRDefault="00756582" w:rsidP="003206E9">
      <w:pPr>
        <w:jc w:val="both"/>
        <w:rPr>
          <w:rFonts w:ascii="Arial" w:hAnsi="Arial" w:cs="Arial"/>
          <w:sz w:val="24"/>
          <w:szCs w:val="24"/>
        </w:rPr>
      </w:pPr>
    </w:p>
    <w:p w:rsidR="00756582" w:rsidRPr="00FC288D" w:rsidRDefault="00756582" w:rsidP="00756582">
      <w:pPr>
        <w:shd w:val="clear" w:color="auto" w:fill="FFFFFF"/>
        <w:jc w:val="both"/>
        <w:rPr>
          <w:rFonts w:cs="Arial"/>
          <w:color w:val="222222"/>
        </w:rPr>
      </w:pPr>
      <w:r w:rsidRPr="00FC288D">
        <w:rPr>
          <w:rFonts w:ascii="Arial" w:hAnsi="Arial" w:cs="Arial"/>
          <w:b/>
          <w:bCs/>
          <w:color w:val="222222"/>
          <w:sz w:val="24"/>
          <w:szCs w:val="24"/>
        </w:rPr>
        <w:t>Aviso de UABC</w:t>
      </w:r>
    </w:p>
    <w:p w:rsidR="0075658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C288D">
        <w:rPr>
          <w:rFonts w:ascii="Arial" w:hAnsi="Arial" w:cs="Arial"/>
          <w:color w:val="222222"/>
          <w:sz w:val="24"/>
          <w:szCs w:val="24"/>
        </w:rPr>
        <w:t xml:space="preserve"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 continuar con las actividades académicas, principalmente. </w:t>
      </w:r>
    </w:p>
    <w:p w:rsidR="0075658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5658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5658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5658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56582" w:rsidRPr="00FC288D" w:rsidRDefault="00756582" w:rsidP="00756582">
      <w:pPr>
        <w:shd w:val="clear" w:color="auto" w:fill="FFFFFF"/>
        <w:jc w:val="both"/>
        <w:rPr>
          <w:rFonts w:cs="Arial"/>
          <w:color w:val="222222"/>
        </w:rPr>
      </w:pPr>
      <w:r w:rsidRPr="00FC288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 como seguir las recomendaciones de higiene de los organismos de salud.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C288D">
        <w:rPr>
          <w:rFonts w:ascii="Arial" w:hAnsi="Arial" w:cs="Arial"/>
          <w:color w:val="222222"/>
          <w:sz w:val="24"/>
          <w:szCs w:val="24"/>
        </w:rPr>
        <w:t> 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C288D">
        <w:rPr>
          <w:rFonts w:ascii="Arial" w:hAnsi="Arial" w:cs="Arial"/>
          <w:color w:val="222222"/>
          <w:sz w:val="24"/>
          <w:szCs w:val="24"/>
        </w:rPr>
        <w:t>(*) </w:t>
      </w:r>
      <w:r w:rsidRPr="00FC288D">
        <w:rPr>
          <w:rFonts w:ascii="Arial" w:hAnsi="Arial" w:cs="Arial"/>
          <w:b/>
          <w:bCs/>
          <w:color w:val="222222"/>
          <w:sz w:val="24"/>
          <w:szCs w:val="24"/>
        </w:rPr>
        <w:t>Medios oficiales</w:t>
      </w:r>
    </w:p>
    <w:p w:rsidR="00756582" w:rsidRPr="008A5BE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C288D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8A5BE2">
          <w:rPr>
            <w:rFonts w:ascii="Arial" w:hAnsi="Arial" w:cs="Arial"/>
            <w:color w:val="0000FF"/>
            <w:sz w:val="24"/>
            <w:szCs w:val="24"/>
            <w:u w:val="single"/>
          </w:rPr>
          <w:t>http://www.uabc.mx/</w:t>
        </w:r>
      </w:hyperlink>
    </w:p>
    <w:p w:rsidR="00756582" w:rsidRPr="008A5BE2" w:rsidRDefault="00756582" w:rsidP="007565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A5BE2">
        <w:rPr>
          <w:rFonts w:ascii="Arial" w:hAnsi="Arial" w:cs="Arial"/>
          <w:color w:val="222222"/>
          <w:sz w:val="24"/>
          <w:szCs w:val="24"/>
        </w:rPr>
        <w:t xml:space="preserve">Página web: </w:t>
      </w:r>
      <w:hyperlink r:id="rId10" w:history="1">
        <w:r w:rsidRPr="008A5BE2">
          <w:rPr>
            <w:rStyle w:val="Hipervnculo"/>
            <w:rFonts w:ascii="Arial" w:hAnsi="Arial" w:cs="Arial"/>
            <w:sz w:val="24"/>
            <w:szCs w:val="24"/>
          </w:rPr>
          <w:t>http://gaceta.uabc.mx/coronavirus</w:t>
        </w:r>
      </w:hyperlink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Facebook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@OficialUABC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@RectorDanielValdez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@GacetaUABC 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Twitter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@UABC_oficial</w:t>
      </w:r>
    </w:p>
    <w:p w:rsidR="00756582" w:rsidRPr="00FC288D" w:rsidRDefault="00756582" w:rsidP="00756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C288D">
        <w:rPr>
          <w:rFonts w:ascii="Arial" w:hAnsi="Arial" w:cs="Arial"/>
          <w:sz w:val="24"/>
          <w:szCs w:val="24"/>
        </w:rPr>
        <w:t>@GacetaUABC</w:t>
      </w:r>
    </w:p>
    <w:p w:rsidR="00756582" w:rsidRPr="005B516F" w:rsidRDefault="00756582" w:rsidP="003206E9">
      <w:pPr>
        <w:jc w:val="both"/>
        <w:rPr>
          <w:rFonts w:ascii="Arial" w:hAnsi="Arial" w:cs="Arial"/>
          <w:sz w:val="24"/>
          <w:szCs w:val="24"/>
        </w:rPr>
      </w:pPr>
    </w:p>
    <w:p w:rsidR="003206E9" w:rsidRPr="005B516F" w:rsidRDefault="003206E9" w:rsidP="003206E9">
      <w:pPr>
        <w:jc w:val="both"/>
        <w:rPr>
          <w:rFonts w:ascii="Arial" w:hAnsi="Arial" w:cs="Arial"/>
          <w:sz w:val="24"/>
          <w:szCs w:val="24"/>
        </w:rPr>
      </w:pPr>
      <w:bookmarkStart w:id="1" w:name="_GoBack"/>
    </w:p>
    <w:p w:rsidR="003206E9" w:rsidRPr="005B516F" w:rsidRDefault="005B516F" w:rsidP="003206E9">
      <w:pPr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5B516F">
        <w:rPr>
          <w:rFonts w:ascii="Arial" w:hAnsi="Arial" w:cs="Arial"/>
          <w:b/>
          <w:color w:val="FFFFFF" w:themeColor="background1"/>
          <w:sz w:val="24"/>
          <w:szCs w:val="24"/>
        </w:rPr>
        <w:t xml:space="preserve">Redacción: </w:t>
      </w:r>
      <w:r w:rsidR="003206E9" w:rsidRPr="005B516F">
        <w:rPr>
          <w:rFonts w:ascii="Arial" w:hAnsi="Arial" w:cs="Arial"/>
          <w:b/>
          <w:color w:val="FFFFFF" w:themeColor="background1"/>
          <w:sz w:val="24"/>
          <w:szCs w:val="24"/>
        </w:rPr>
        <w:t>Olivia López Segoviano</w:t>
      </w:r>
    </w:p>
    <w:p w:rsidR="003206E9" w:rsidRPr="005B516F" w:rsidRDefault="005B516F" w:rsidP="003206E9">
      <w:pPr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5B516F">
        <w:rPr>
          <w:rFonts w:ascii="Arial" w:hAnsi="Arial" w:cs="Arial"/>
          <w:b/>
          <w:color w:val="FFFFFF" w:themeColor="background1"/>
          <w:sz w:val="24"/>
          <w:szCs w:val="24"/>
        </w:rPr>
        <w:t>Fotos: cortesía</w:t>
      </w:r>
    </w:p>
    <w:p w:rsidR="003206E9" w:rsidRPr="005B516F" w:rsidRDefault="003206E9" w:rsidP="003206E9">
      <w:pPr>
        <w:jc w:val="both"/>
        <w:rPr>
          <w:rFonts w:ascii="Arial" w:hAnsi="Arial" w:cs="Arial"/>
          <w:color w:val="FFFFFF" w:themeColor="background1"/>
          <w:sz w:val="24"/>
          <w:szCs w:val="24"/>
          <w:lang w:eastAsia="es-ES_tradnl"/>
        </w:rPr>
      </w:pPr>
    </w:p>
    <w:p w:rsidR="003206E9" w:rsidRPr="005B516F" w:rsidRDefault="003206E9" w:rsidP="003206E9">
      <w:pPr>
        <w:jc w:val="both"/>
        <w:rPr>
          <w:rFonts w:ascii="Times New Roman" w:hAnsi="Times New Roman"/>
          <w:sz w:val="24"/>
          <w:szCs w:val="24"/>
          <w:lang w:eastAsia="es-ES_tradnl"/>
        </w:rPr>
      </w:pPr>
    </w:p>
    <w:bookmarkEnd w:id="1"/>
    <w:p w:rsidR="003206E9" w:rsidRPr="005B516F" w:rsidRDefault="003206E9" w:rsidP="003206E9">
      <w:pPr>
        <w:jc w:val="both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E206C4" w:rsidRPr="005B516F" w:rsidRDefault="00E206C4" w:rsidP="005F3A26">
      <w:pPr>
        <w:shd w:val="clear" w:color="auto" w:fill="FFFFFF"/>
        <w:jc w:val="both"/>
        <w:rPr>
          <w:color w:val="FF0000"/>
          <w:sz w:val="24"/>
          <w:szCs w:val="24"/>
        </w:rPr>
      </w:pPr>
    </w:p>
    <w:sectPr w:rsidR="00E206C4" w:rsidRPr="005B516F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834" w:rsidRDefault="004A0834">
      <w:r>
        <w:separator/>
      </w:r>
    </w:p>
  </w:endnote>
  <w:endnote w:type="continuationSeparator" w:id="0">
    <w:p w:rsidR="004A0834" w:rsidRDefault="004A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834" w:rsidRDefault="004A0834">
      <w:r>
        <w:rPr>
          <w:color w:val="000000"/>
        </w:rPr>
        <w:separator/>
      </w:r>
    </w:p>
  </w:footnote>
  <w:footnote w:type="continuationSeparator" w:id="0">
    <w:p w:rsidR="004A0834" w:rsidRDefault="004A0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E4"/>
    <w:multiLevelType w:val="hybridMultilevel"/>
    <w:tmpl w:val="8160E70E"/>
    <w:lvl w:ilvl="0" w:tplc="EDDEDF7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42C7A02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47B9C"/>
    <w:multiLevelType w:val="hybridMultilevel"/>
    <w:tmpl w:val="C98E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17DD3"/>
    <w:multiLevelType w:val="hybridMultilevel"/>
    <w:tmpl w:val="718E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D448766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6F7B"/>
    <w:multiLevelType w:val="hybridMultilevel"/>
    <w:tmpl w:val="FF74A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06B91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B325F"/>
    <w:multiLevelType w:val="hybridMultilevel"/>
    <w:tmpl w:val="CC22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D2EBC"/>
    <w:multiLevelType w:val="hybridMultilevel"/>
    <w:tmpl w:val="B83C896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E0177B"/>
    <w:multiLevelType w:val="hybridMultilevel"/>
    <w:tmpl w:val="DA9ADFBA"/>
    <w:lvl w:ilvl="0" w:tplc="6FF44D8E">
      <w:start w:val="1"/>
      <w:numFmt w:val="lowerLetter"/>
      <w:lvlText w:val="%1."/>
      <w:lvlJc w:val="left"/>
      <w:pPr>
        <w:ind w:left="820" w:hanging="361"/>
        <w:jc w:val="left"/>
      </w:pPr>
      <w:rPr>
        <w:rFonts w:hint="default"/>
        <w:w w:val="99"/>
        <w:lang w:val="es-ES" w:eastAsia="es-ES" w:bidi="es-ES"/>
      </w:rPr>
    </w:lvl>
    <w:lvl w:ilvl="1" w:tplc="CD36091E">
      <w:numFmt w:val="bullet"/>
      <w:lvlText w:val="•"/>
      <w:lvlJc w:val="left"/>
      <w:pPr>
        <w:ind w:left="1694" w:hanging="361"/>
      </w:pPr>
      <w:rPr>
        <w:rFonts w:hint="default"/>
        <w:lang w:val="es-ES" w:eastAsia="es-ES" w:bidi="es-ES"/>
      </w:rPr>
    </w:lvl>
    <w:lvl w:ilvl="2" w:tplc="148C9DBA">
      <w:numFmt w:val="bullet"/>
      <w:lvlText w:val="•"/>
      <w:lvlJc w:val="left"/>
      <w:pPr>
        <w:ind w:left="2568" w:hanging="361"/>
      </w:pPr>
      <w:rPr>
        <w:rFonts w:hint="default"/>
        <w:lang w:val="es-ES" w:eastAsia="es-ES" w:bidi="es-ES"/>
      </w:rPr>
    </w:lvl>
    <w:lvl w:ilvl="3" w:tplc="76063FA6">
      <w:numFmt w:val="bullet"/>
      <w:lvlText w:val="•"/>
      <w:lvlJc w:val="left"/>
      <w:pPr>
        <w:ind w:left="3442" w:hanging="361"/>
      </w:pPr>
      <w:rPr>
        <w:rFonts w:hint="default"/>
        <w:lang w:val="es-ES" w:eastAsia="es-ES" w:bidi="es-ES"/>
      </w:rPr>
    </w:lvl>
    <w:lvl w:ilvl="4" w:tplc="389ABB44">
      <w:numFmt w:val="bullet"/>
      <w:lvlText w:val="•"/>
      <w:lvlJc w:val="left"/>
      <w:pPr>
        <w:ind w:left="4316" w:hanging="361"/>
      </w:pPr>
      <w:rPr>
        <w:rFonts w:hint="default"/>
        <w:lang w:val="es-ES" w:eastAsia="es-ES" w:bidi="es-ES"/>
      </w:rPr>
    </w:lvl>
    <w:lvl w:ilvl="5" w:tplc="BCF0B51E">
      <w:numFmt w:val="bullet"/>
      <w:lvlText w:val="•"/>
      <w:lvlJc w:val="left"/>
      <w:pPr>
        <w:ind w:left="5190" w:hanging="361"/>
      </w:pPr>
      <w:rPr>
        <w:rFonts w:hint="default"/>
        <w:lang w:val="es-ES" w:eastAsia="es-ES" w:bidi="es-ES"/>
      </w:rPr>
    </w:lvl>
    <w:lvl w:ilvl="6" w:tplc="C4D80EEC">
      <w:numFmt w:val="bullet"/>
      <w:lvlText w:val="•"/>
      <w:lvlJc w:val="left"/>
      <w:pPr>
        <w:ind w:left="6064" w:hanging="361"/>
      </w:pPr>
      <w:rPr>
        <w:rFonts w:hint="default"/>
        <w:lang w:val="es-ES" w:eastAsia="es-ES" w:bidi="es-ES"/>
      </w:rPr>
    </w:lvl>
    <w:lvl w:ilvl="7" w:tplc="DC80BADE">
      <w:numFmt w:val="bullet"/>
      <w:lvlText w:val="•"/>
      <w:lvlJc w:val="left"/>
      <w:pPr>
        <w:ind w:left="6938" w:hanging="361"/>
      </w:pPr>
      <w:rPr>
        <w:rFonts w:hint="default"/>
        <w:lang w:val="es-ES" w:eastAsia="es-ES" w:bidi="es-ES"/>
      </w:rPr>
    </w:lvl>
    <w:lvl w:ilvl="8" w:tplc="6E0060D0">
      <w:numFmt w:val="bullet"/>
      <w:lvlText w:val="•"/>
      <w:lvlJc w:val="left"/>
      <w:pPr>
        <w:ind w:left="7812" w:hanging="361"/>
      </w:pPr>
      <w:rPr>
        <w:rFonts w:hint="default"/>
        <w:lang w:val="es-ES" w:eastAsia="es-ES" w:bidi="es-ES"/>
      </w:rPr>
    </w:lvl>
  </w:abstractNum>
  <w:abstractNum w:abstractNumId="8" w15:restartNumberingAfterBreak="0">
    <w:nsid w:val="52A9625D"/>
    <w:multiLevelType w:val="hybridMultilevel"/>
    <w:tmpl w:val="9FFE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83DA6"/>
    <w:multiLevelType w:val="hybridMultilevel"/>
    <w:tmpl w:val="B05AE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072D2F8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D060A7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06522C6"/>
    <w:multiLevelType w:val="hybridMultilevel"/>
    <w:tmpl w:val="5BB23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B63BF"/>
    <w:multiLevelType w:val="hybridMultilevel"/>
    <w:tmpl w:val="DC50AC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B7ADB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B47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65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4FD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1A3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AEA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A679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7596B-6870-4DD3-A7F9-A1FB7190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1166</Words>
  <Characters>6414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25</cp:revision>
  <cp:lastPrinted>2020-03-12T17:46:00Z</cp:lastPrinted>
  <dcterms:created xsi:type="dcterms:W3CDTF">2020-04-03T02:30:00Z</dcterms:created>
  <dcterms:modified xsi:type="dcterms:W3CDTF">2020-04-03T23:22:00Z</dcterms:modified>
</cp:coreProperties>
</file>