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C04CFE">
        <w:rPr>
          <w:rFonts w:ascii="Arial" w:hAnsi="Arial" w:cs="Arial"/>
          <w:b/>
          <w:sz w:val="24"/>
          <w:szCs w:val="24"/>
        </w:rPr>
        <w:t>6</w:t>
      </w:r>
      <w:r w:rsidR="00047F56">
        <w:rPr>
          <w:rFonts w:ascii="Arial" w:hAnsi="Arial" w:cs="Arial"/>
          <w:b/>
          <w:sz w:val="24"/>
          <w:szCs w:val="24"/>
        </w:rPr>
        <w:t>9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3E6E4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6"/>
          <w:sz w:val="16"/>
          <w:szCs w:val="16"/>
          <w:lang w:val="es-MX"/>
        </w:rPr>
      </w:pPr>
    </w:p>
    <w:p w:rsidR="00047F56" w:rsidRDefault="00047F56" w:rsidP="00047F56">
      <w:pPr>
        <w:jc w:val="center"/>
        <w:rPr>
          <w:rFonts w:ascii="Arial" w:eastAsia="Arial" w:hAnsi="Arial" w:cs="Arial"/>
          <w:b/>
          <w:spacing w:val="-6"/>
          <w:sz w:val="36"/>
          <w:szCs w:val="28"/>
        </w:rPr>
      </w:pPr>
      <w:r w:rsidRPr="00047F56">
        <w:rPr>
          <w:rFonts w:ascii="Arial" w:eastAsia="Arial" w:hAnsi="Arial" w:cs="Arial"/>
          <w:b/>
          <w:spacing w:val="-6"/>
          <w:sz w:val="36"/>
          <w:szCs w:val="28"/>
        </w:rPr>
        <w:t>Acreditan calidad de Ingeniería Industrial del Campus Tijuana</w:t>
      </w:r>
    </w:p>
    <w:p w:rsidR="00047F56" w:rsidRPr="00047F56" w:rsidRDefault="00047F56" w:rsidP="00047F56">
      <w:pPr>
        <w:jc w:val="center"/>
        <w:rPr>
          <w:rFonts w:ascii="Arial" w:eastAsia="Arial" w:hAnsi="Arial" w:cs="Arial"/>
          <w:b/>
          <w:spacing w:val="-6"/>
          <w:sz w:val="16"/>
          <w:szCs w:val="16"/>
        </w:rPr>
      </w:pPr>
    </w:p>
    <w:p w:rsidR="00047F56" w:rsidRPr="00047F56" w:rsidRDefault="00047F56" w:rsidP="00047F56">
      <w:pPr>
        <w:pStyle w:val="Prrafodelista"/>
        <w:numPr>
          <w:ilvl w:val="0"/>
          <w:numId w:val="22"/>
        </w:numPr>
        <w:ind w:left="284" w:hanging="284"/>
        <w:rPr>
          <w:rFonts w:ascii="Arial" w:eastAsia="Arial" w:hAnsi="Arial" w:cs="Arial"/>
          <w:sz w:val="24"/>
          <w:szCs w:val="24"/>
        </w:rPr>
      </w:pPr>
      <w:r w:rsidRPr="00047F56">
        <w:rPr>
          <w:rFonts w:ascii="Arial" w:eastAsia="Arial" w:hAnsi="Arial" w:cs="Arial"/>
          <w:sz w:val="24"/>
          <w:szCs w:val="24"/>
        </w:rPr>
        <w:t xml:space="preserve">El dictamen de acreditación tiene vigencia hasta </w:t>
      </w:r>
      <w:r w:rsidR="00765BB1">
        <w:rPr>
          <w:rFonts w:ascii="Arial" w:eastAsia="Arial" w:hAnsi="Arial" w:cs="Arial"/>
          <w:sz w:val="24"/>
          <w:szCs w:val="24"/>
        </w:rPr>
        <w:t>e</w:t>
      </w:r>
      <w:r w:rsidRPr="00047F56">
        <w:rPr>
          <w:rFonts w:ascii="Arial" w:eastAsia="Arial" w:hAnsi="Arial" w:cs="Arial"/>
          <w:sz w:val="24"/>
          <w:szCs w:val="24"/>
        </w:rPr>
        <w:t>l 2025</w:t>
      </w:r>
      <w:r w:rsidR="00765BB1">
        <w:rPr>
          <w:rFonts w:ascii="Arial" w:eastAsia="Arial" w:hAnsi="Arial" w:cs="Arial"/>
          <w:sz w:val="24"/>
          <w:szCs w:val="24"/>
        </w:rPr>
        <w:t>.</w:t>
      </w:r>
    </w:p>
    <w:p w:rsidR="002C6A99" w:rsidRPr="006B0DFE" w:rsidRDefault="002C6A99" w:rsidP="002C6A99">
      <w:pPr>
        <w:jc w:val="both"/>
        <w:rPr>
          <w:rFonts w:ascii="Arial" w:hAnsi="Arial" w:cs="Arial"/>
          <w:sz w:val="16"/>
          <w:szCs w:val="16"/>
        </w:rPr>
      </w:pPr>
    </w:p>
    <w:p w:rsidR="00E41712" w:rsidRDefault="00047F56" w:rsidP="00E417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hAnsi="Arial" w:cs="Arial"/>
          <w:b/>
          <w:sz w:val="24"/>
        </w:rPr>
        <w:t>Tijuana</w:t>
      </w:r>
      <w:r w:rsidR="006B0DFE" w:rsidRPr="006B0DFE">
        <w:rPr>
          <w:rFonts w:ascii="Arial" w:hAnsi="Arial" w:cs="Arial"/>
          <w:b/>
          <w:sz w:val="24"/>
        </w:rPr>
        <w:t xml:space="preserve">, B.C., </w:t>
      </w:r>
      <w:r>
        <w:rPr>
          <w:rFonts w:ascii="Arial" w:hAnsi="Arial" w:cs="Arial"/>
          <w:b/>
          <w:sz w:val="24"/>
        </w:rPr>
        <w:t>miércoles 3 de junio</w:t>
      </w:r>
      <w:r w:rsidR="006B0DFE" w:rsidRPr="006B0DFE">
        <w:rPr>
          <w:rFonts w:ascii="Arial" w:hAnsi="Arial" w:cs="Arial"/>
          <w:b/>
          <w:sz w:val="24"/>
        </w:rPr>
        <w:t xml:space="preserve"> de 2020</w:t>
      </w:r>
      <w:r w:rsidR="006B0DFE">
        <w:rPr>
          <w:rFonts w:ascii="Arial" w:hAnsi="Arial" w:cs="Arial"/>
          <w:sz w:val="24"/>
        </w:rPr>
        <w:t xml:space="preserve">.- </w:t>
      </w:r>
      <w:r w:rsidR="00E41712">
        <w:rPr>
          <w:rFonts w:ascii="Arial" w:hAnsi="Arial" w:cs="Arial"/>
          <w:sz w:val="24"/>
        </w:rPr>
        <w:t xml:space="preserve">Por su 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>calidad</w:t>
      </w:r>
      <w:r w:rsidR="00E41712" w:rsidRPr="00E41712">
        <w:rPr>
          <w:rFonts w:ascii="Arial" w:eastAsia="Arial" w:hAnsi="Arial" w:cs="Arial"/>
          <w:sz w:val="24"/>
          <w:szCs w:val="24"/>
          <w:highlight w:val="white"/>
        </w:rPr>
        <w:t xml:space="preserve"> y profesionalismo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>, el</w:t>
      </w:r>
      <w:r w:rsidR="00E41712" w:rsidRPr="00E41712">
        <w:rPr>
          <w:rFonts w:ascii="Arial" w:eastAsia="Arial" w:hAnsi="Arial" w:cs="Arial"/>
          <w:sz w:val="24"/>
          <w:szCs w:val="24"/>
          <w:highlight w:val="white"/>
        </w:rPr>
        <w:t xml:space="preserve"> programa 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 xml:space="preserve">educativo </w:t>
      </w:r>
      <w:r w:rsidR="009C0DC0">
        <w:rPr>
          <w:rFonts w:ascii="Arial" w:eastAsia="Arial" w:hAnsi="Arial" w:cs="Arial"/>
          <w:sz w:val="24"/>
          <w:szCs w:val="24"/>
          <w:highlight w:val="white"/>
        </w:rPr>
        <w:t xml:space="preserve">de 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>Ingeniería Industrial</w:t>
      </w:r>
      <w:r w:rsidR="00E41712" w:rsidRPr="00E41712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>que se imparte en</w:t>
      </w:r>
      <w:r w:rsidR="00E41712" w:rsidRPr="00E41712">
        <w:rPr>
          <w:rFonts w:ascii="Arial" w:eastAsia="Arial" w:hAnsi="Arial" w:cs="Arial"/>
          <w:sz w:val="24"/>
          <w:szCs w:val="24"/>
          <w:highlight w:val="white"/>
        </w:rPr>
        <w:t xml:space="preserve"> la Facultad de Ciencias Químicas e Ingeniería (FCQI) 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 xml:space="preserve">de la Universidad Autónoma de Baja California (UABC), </w:t>
      </w:r>
      <w:r w:rsidR="009C0DC0">
        <w:rPr>
          <w:rFonts w:ascii="Arial" w:eastAsia="Arial" w:hAnsi="Arial" w:cs="Arial"/>
          <w:sz w:val="24"/>
          <w:szCs w:val="24"/>
          <w:highlight w:val="white"/>
        </w:rPr>
        <w:t>Campus Tijuana, fue acreditado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06121A">
        <w:rPr>
          <w:rFonts w:ascii="Arial" w:eastAsia="Arial" w:hAnsi="Arial" w:cs="Arial"/>
          <w:sz w:val="24"/>
          <w:szCs w:val="24"/>
          <w:highlight w:val="white"/>
        </w:rPr>
        <w:t>hasta el 2025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 xml:space="preserve"> por e</w:t>
      </w:r>
      <w:r w:rsidR="00E41712" w:rsidRPr="00E41712">
        <w:rPr>
          <w:rFonts w:ascii="Arial" w:eastAsia="Arial" w:hAnsi="Arial" w:cs="Arial"/>
          <w:sz w:val="24"/>
          <w:szCs w:val="24"/>
          <w:highlight w:val="white"/>
        </w:rPr>
        <w:t xml:space="preserve">l Consejo de Acreditación de la 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>Enseñanza de la Ingeniería, A.C.</w:t>
      </w:r>
      <w:r w:rsidR="00E41712" w:rsidRPr="00E41712">
        <w:rPr>
          <w:rFonts w:ascii="Arial" w:eastAsia="Arial" w:hAnsi="Arial" w:cs="Arial"/>
          <w:sz w:val="24"/>
          <w:szCs w:val="24"/>
          <w:highlight w:val="white"/>
        </w:rPr>
        <w:t xml:space="preserve"> (CACEI</w:t>
      </w:r>
      <w:r w:rsidR="00E41712">
        <w:rPr>
          <w:rFonts w:ascii="Arial" w:eastAsia="Arial" w:hAnsi="Arial" w:cs="Arial"/>
          <w:sz w:val="24"/>
          <w:szCs w:val="24"/>
          <w:highlight w:val="white"/>
        </w:rPr>
        <w:t>).</w:t>
      </w:r>
    </w:p>
    <w:p w:rsidR="00486B80" w:rsidRDefault="00486B80" w:rsidP="00E417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86B80" w:rsidRDefault="00486B80" w:rsidP="00486B80">
      <w:pPr>
        <w:shd w:val="clear" w:color="auto" w:fill="FFFFFF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La m</w:t>
      </w:r>
      <w:r w:rsidRPr="00E41712">
        <w:rPr>
          <w:rFonts w:ascii="Arial" w:eastAsia="Arial" w:hAnsi="Arial" w:cs="Arial"/>
          <w:sz w:val="24"/>
          <w:szCs w:val="24"/>
          <w:highlight w:val="white"/>
        </w:rPr>
        <w:t xml:space="preserve">aestra Edith Montiel Ayala, </w:t>
      </w:r>
      <w:r>
        <w:rPr>
          <w:rFonts w:ascii="Arial" w:eastAsia="Arial" w:hAnsi="Arial" w:cs="Arial"/>
          <w:sz w:val="24"/>
          <w:szCs w:val="24"/>
          <w:highlight w:val="white"/>
        </w:rPr>
        <w:t>vicerrectora del C</w:t>
      </w:r>
      <w:r w:rsidRPr="00E41712">
        <w:rPr>
          <w:rFonts w:ascii="Arial" w:eastAsia="Arial" w:hAnsi="Arial" w:cs="Arial"/>
          <w:sz w:val="24"/>
          <w:szCs w:val="24"/>
          <w:highlight w:val="white"/>
        </w:rPr>
        <w:t>ampus Tijuana</w:t>
      </w:r>
      <w:r>
        <w:rPr>
          <w:rFonts w:ascii="Arial" w:eastAsia="Arial" w:hAnsi="Arial" w:cs="Arial"/>
          <w:sz w:val="24"/>
          <w:szCs w:val="24"/>
          <w:highlight w:val="white"/>
        </w:rPr>
        <w:t>,</w:t>
      </w:r>
      <w:r w:rsidRPr="00E41712">
        <w:rPr>
          <w:rFonts w:ascii="Arial" w:eastAsia="Arial" w:hAnsi="Arial" w:cs="Arial"/>
          <w:sz w:val="24"/>
          <w:szCs w:val="24"/>
          <w:highlight w:val="white"/>
        </w:rPr>
        <w:t xml:space="preserve"> expresó que el logro de esta acreditación es el reflejo del esfuerzo realizado por sus académicos, estudiantes, personal administrativo, </w:t>
      </w:r>
      <w:r w:rsidR="00284B21">
        <w:rPr>
          <w:rFonts w:ascii="Arial" w:eastAsia="Arial" w:hAnsi="Arial" w:cs="Arial"/>
          <w:sz w:val="24"/>
          <w:szCs w:val="24"/>
          <w:highlight w:val="white"/>
        </w:rPr>
        <w:t xml:space="preserve">así como </w:t>
      </w:r>
      <w:r w:rsidRPr="00E41712">
        <w:rPr>
          <w:rFonts w:ascii="Arial" w:eastAsia="Arial" w:hAnsi="Arial" w:cs="Arial"/>
          <w:sz w:val="24"/>
          <w:szCs w:val="24"/>
          <w:highlight w:val="white"/>
        </w:rPr>
        <w:t>de la exitosa vinculación con sus egresados</w:t>
      </w:r>
      <w:r w:rsidR="00284B21">
        <w:rPr>
          <w:rFonts w:ascii="Arial" w:eastAsia="Arial" w:hAnsi="Arial" w:cs="Arial"/>
          <w:sz w:val="24"/>
          <w:szCs w:val="24"/>
          <w:highlight w:val="white"/>
        </w:rPr>
        <w:t xml:space="preserve"> y</w:t>
      </w:r>
      <w:r w:rsidRPr="00E41712">
        <w:rPr>
          <w:rFonts w:ascii="Arial" w:eastAsia="Arial" w:hAnsi="Arial" w:cs="Arial"/>
          <w:sz w:val="24"/>
          <w:szCs w:val="24"/>
          <w:highlight w:val="white"/>
        </w:rPr>
        <w:t xml:space="preserve"> grupos de interés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. </w:t>
      </w:r>
    </w:p>
    <w:p w:rsidR="00486B80" w:rsidRDefault="00486B80" w:rsidP="00486B80">
      <w:pPr>
        <w:shd w:val="clear" w:color="auto" w:fill="FFFFFF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486B80" w:rsidRDefault="00A846C0" w:rsidP="00486B80">
      <w:pPr>
        <w:shd w:val="clear" w:color="auto" w:fill="FFFFFF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Destacó</w:t>
      </w:r>
      <w:r w:rsidR="00486B80">
        <w:rPr>
          <w:rFonts w:ascii="Arial" w:eastAsia="Arial" w:hAnsi="Arial" w:cs="Arial"/>
          <w:sz w:val="24"/>
          <w:szCs w:val="24"/>
          <w:highlight w:val="white"/>
        </w:rPr>
        <w:t xml:space="preserve"> que el liderazgo de los directivos y coordinadores de área de esta unidad académica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>, fue fundamental para alcanzar est</w:t>
      </w:r>
      <w:r w:rsidR="00284B21">
        <w:rPr>
          <w:rFonts w:ascii="Arial" w:eastAsia="Arial" w:hAnsi="Arial" w:cs="Arial"/>
          <w:sz w:val="24"/>
          <w:szCs w:val="24"/>
          <w:highlight w:val="white"/>
        </w:rPr>
        <w:t>e reconocimiento</w:t>
      </w:r>
      <w:r w:rsidR="00486B80">
        <w:rPr>
          <w:rFonts w:ascii="Arial" w:eastAsia="Arial" w:hAnsi="Arial" w:cs="Arial"/>
          <w:sz w:val="24"/>
          <w:szCs w:val="24"/>
          <w:highlight w:val="white"/>
        </w:rPr>
        <w:t>. “El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 xml:space="preserve"> hecho de que se acredite por </w:t>
      </w:r>
      <w:r w:rsidR="00486B80">
        <w:rPr>
          <w:rFonts w:ascii="Arial" w:eastAsia="Arial" w:hAnsi="Arial" w:cs="Arial"/>
          <w:sz w:val="24"/>
          <w:szCs w:val="24"/>
          <w:highlight w:val="white"/>
        </w:rPr>
        <w:t>cinco años el p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 xml:space="preserve">rograma </w:t>
      </w:r>
      <w:r w:rsidR="00486B80">
        <w:rPr>
          <w:rFonts w:ascii="Arial" w:eastAsia="Arial" w:hAnsi="Arial" w:cs="Arial"/>
          <w:sz w:val="24"/>
          <w:szCs w:val="24"/>
          <w:highlight w:val="white"/>
        </w:rPr>
        <w:t>educativo de In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 xml:space="preserve">geniería Industrial no es una casualidad, </w:t>
      </w:r>
      <w:r w:rsidR="00284B21">
        <w:rPr>
          <w:rFonts w:ascii="Arial" w:eastAsia="Arial" w:hAnsi="Arial" w:cs="Arial"/>
          <w:sz w:val="24"/>
          <w:szCs w:val="24"/>
          <w:highlight w:val="white"/>
        </w:rPr>
        <w:t>significa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 xml:space="preserve"> que se demostró ante el organismo CACEI que la FCQI está trabajando con un plan de mejora </w:t>
      </w:r>
      <w:r w:rsidR="00486B80">
        <w:rPr>
          <w:rFonts w:ascii="Arial" w:eastAsia="Arial" w:hAnsi="Arial" w:cs="Arial"/>
          <w:sz w:val="24"/>
          <w:szCs w:val="24"/>
          <w:highlight w:val="white"/>
        </w:rPr>
        <w:t>c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>ontinua sólido y eso contribuye a las metas institucionales</w:t>
      </w:r>
      <w:r w:rsidR="00486B80">
        <w:rPr>
          <w:rFonts w:ascii="Arial" w:eastAsia="Arial" w:hAnsi="Arial" w:cs="Arial"/>
          <w:sz w:val="24"/>
          <w:szCs w:val="24"/>
          <w:highlight w:val="white"/>
        </w:rPr>
        <w:t>”, manifestó la vicerrectora</w:t>
      </w:r>
      <w:r w:rsidR="00486B80" w:rsidRPr="00E41712">
        <w:rPr>
          <w:rFonts w:ascii="Arial" w:eastAsia="Arial" w:hAnsi="Arial" w:cs="Arial"/>
          <w:sz w:val="24"/>
          <w:szCs w:val="24"/>
          <w:highlight w:val="white"/>
        </w:rPr>
        <w:t>.</w:t>
      </w:r>
    </w:p>
    <w:p w:rsidR="00E41712" w:rsidRPr="00E41712" w:rsidRDefault="00E41712" w:rsidP="00E41712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41712" w:rsidRPr="00E41712" w:rsidRDefault="00486B80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su parte, e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z w:val="24"/>
          <w:szCs w:val="24"/>
        </w:rPr>
        <w:t>director de la FCQI, doctor José Luis Gonzá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lez </w:t>
      </w:r>
      <w:r>
        <w:rPr>
          <w:rFonts w:ascii="Arial" w:eastAsia="Arial" w:hAnsi="Arial" w:cs="Arial"/>
          <w:sz w:val="24"/>
          <w:szCs w:val="24"/>
        </w:rPr>
        <w:t>Vázquez, agradeció el esfuerzo y dedicación de la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 comunidad docente del </w:t>
      </w:r>
      <w:r w:rsidRPr="00486B80">
        <w:rPr>
          <w:rFonts w:ascii="Arial" w:eastAsia="Arial" w:hAnsi="Arial" w:cs="Arial"/>
          <w:sz w:val="24"/>
          <w:szCs w:val="24"/>
        </w:rPr>
        <w:t>tronco com</w:t>
      </w:r>
      <w:r w:rsidR="00E41712" w:rsidRPr="00E41712">
        <w:rPr>
          <w:rFonts w:ascii="Arial" w:eastAsia="Arial" w:hAnsi="Arial" w:cs="Arial"/>
          <w:sz w:val="24"/>
          <w:szCs w:val="24"/>
        </w:rPr>
        <w:t>ún de Ingeniería</w:t>
      </w:r>
      <w:r w:rsidR="005D78C2" w:rsidRPr="005D78C2">
        <w:rPr>
          <w:rFonts w:ascii="Arial" w:eastAsia="Arial" w:hAnsi="Arial" w:cs="Arial"/>
          <w:sz w:val="24"/>
          <w:szCs w:val="24"/>
        </w:rPr>
        <w:t xml:space="preserve"> </w:t>
      </w:r>
      <w:r w:rsidR="005D78C2">
        <w:rPr>
          <w:rFonts w:ascii="Arial" w:eastAsia="Arial" w:hAnsi="Arial" w:cs="Arial"/>
          <w:sz w:val="24"/>
          <w:szCs w:val="24"/>
        </w:rPr>
        <w:t xml:space="preserve">por contribuir </w:t>
      </w:r>
      <w:r w:rsidR="005D78C2" w:rsidRPr="00E41712">
        <w:rPr>
          <w:rFonts w:ascii="Arial" w:eastAsia="Arial" w:hAnsi="Arial" w:cs="Arial"/>
          <w:sz w:val="24"/>
          <w:szCs w:val="24"/>
        </w:rPr>
        <w:t>con la proveeduría de los servicios sobre los que operan las carreras</w:t>
      </w:r>
      <w:r w:rsidR="005D78C2">
        <w:rPr>
          <w:rFonts w:ascii="Arial" w:eastAsia="Arial" w:hAnsi="Arial" w:cs="Arial"/>
          <w:sz w:val="24"/>
          <w:szCs w:val="24"/>
        </w:rPr>
        <w:t>.</w:t>
      </w:r>
    </w:p>
    <w:p w:rsidR="00486B80" w:rsidRDefault="00486B80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</w:p>
    <w:p w:rsidR="00E41712" w:rsidRPr="00E41712" w:rsidRDefault="00486B80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Expresó que es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ta acreditación representa una </w:t>
      </w:r>
      <w:r w:rsidR="00E41712" w:rsidRPr="00E41712">
        <w:rPr>
          <w:rFonts w:ascii="Arial" w:eastAsia="Arial" w:hAnsi="Arial" w:cs="Arial"/>
          <w:color w:val="1D2129"/>
          <w:sz w:val="24"/>
          <w:szCs w:val="24"/>
          <w:highlight w:val="white"/>
        </w:rPr>
        <w:t>restructuración y renovación integral de</w:t>
      </w:r>
      <w:r w:rsidR="00284B21">
        <w:rPr>
          <w:rFonts w:ascii="Arial" w:eastAsia="Arial" w:hAnsi="Arial" w:cs="Arial"/>
          <w:color w:val="1D2129"/>
          <w:sz w:val="24"/>
          <w:szCs w:val="24"/>
          <w:highlight w:val="white"/>
        </w:rPr>
        <w:t>l</w:t>
      </w:r>
      <w:r w:rsidR="00E41712" w:rsidRPr="00E41712">
        <w:rPr>
          <w:rFonts w:ascii="Arial" w:eastAsia="Arial" w:hAnsi="Arial" w:cs="Arial"/>
          <w:color w:val="1D2129"/>
          <w:sz w:val="24"/>
          <w:szCs w:val="24"/>
          <w:highlight w:val="white"/>
        </w:rPr>
        <w:t xml:space="preserve"> compromiso de actualización industrial global.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 “Es un gran logro que todos nuestros programas tengan dictamen de calidad</w:t>
      </w:r>
      <w:r w:rsidR="00C476A4">
        <w:rPr>
          <w:rFonts w:ascii="Arial" w:eastAsia="Arial" w:hAnsi="Arial" w:cs="Arial"/>
          <w:sz w:val="24"/>
          <w:szCs w:val="24"/>
        </w:rPr>
        <w:t xml:space="preserve"> y qu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e </w:t>
      </w:r>
      <w:r w:rsidR="00C476A4">
        <w:rPr>
          <w:rFonts w:ascii="Arial" w:eastAsia="Arial" w:hAnsi="Arial" w:cs="Arial"/>
          <w:sz w:val="24"/>
          <w:szCs w:val="24"/>
        </w:rPr>
        <w:t>el 100% esté acreditado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 por los organismos nacionales respectivos”</w:t>
      </w:r>
      <w:r w:rsidR="00284B21">
        <w:rPr>
          <w:rFonts w:ascii="Arial" w:eastAsia="Arial" w:hAnsi="Arial" w:cs="Arial"/>
          <w:sz w:val="24"/>
          <w:szCs w:val="24"/>
        </w:rPr>
        <w:t>,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 señaló el doctor </w:t>
      </w:r>
      <w:r>
        <w:rPr>
          <w:rFonts w:ascii="Arial" w:eastAsia="Arial" w:hAnsi="Arial" w:cs="Arial"/>
          <w:sz w:val="24"/>
          <w:szCs w:val="24"/>
        </w:rPr>
        <w:t>González Vázquez.</w:t>
      </w:r>
    </w:p>
    <w:p w:rsidR="00E41712" w:rsidRPr="00E41712" w:rsidRDefault="00E41712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</w:p>
    <w:p w:rsidR="00E41712" w:rsidRDefault="00C476A4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“De esta forma se refrenda el </w:t>
      </w:r>
      <w:r w:rsidRPr="00E41712">
        <w:rPr>
          <w:rFonts w:ascii="Arial" w:eastAsia="Arial" w:hAnsi="Arial" w:cs="Arial"/>
          <w:sz w:val="24"/>
          <w:szCs w:val="24"/>
        </w:rPr>
        <w:t xml:space="preserve">fortalecimiento 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permanente de los procesos de docencia y servicios de apoyo, </w:t>
      </w:r>
      <w:r>
        <w:rPr>
          <w:rFonts w:ascii="Arial" w:eastAsia="Arial" w:hAnsi="Arial" w:cs="Arial"/>
          <w:sz w:val="24"/>
          <w:szCs w:val="24"/>
        </w:rPr>
        <w:t>con los que se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 evidencia estar a la altura de las aspiraciones de la </w:t>
      </w:r>
      <w:r>
        <w:rPr>
          <w:rFonts w:ascii="Arial" w:eastAsia="Arial" w:hAnsi="Arial" w:cs="Arial"/>
          <w:sz w:val="24"/>
          <w:szCs w:val="24"/>
        </w:rPr>
        <w:t>UABC</w:t>
      </w:r>
      <w:r w:rsidR="00E41712" w:rsidRPr="00E41712">
        <w:rPr>
          <w:rFonts w:ascii="Arial" w:eastAsia="Arial" w:hAnsi="Arial" w:cs="Arial"/>
          <w:sz w:val="24"/>
          <w:szCs w:val="24"/>
        </w:rPr>
        <w:t xml:space="preserve"> y contribuir decididamente al Plan de Desarrollo Institucional 2019-2023</w:t>
      </w:r>
      <w:r>
        <w:rPr>
          <w:rFonts w:ascii="Arial" w:eastAsia="Arial" w:hAnsi="Arial" w:cs="Arial"/>
          <w:sz w:val="24"/>
          <w:szCs w:val="24"/>
        </w:rPr>
        <w:t>”, puntualizó</w:t>
      </w:r>
      <w:r w:rsidR="00E41712" w:rsidRPr="00E41712">
        <w:rPr>
          <w:rFonts w:ascii="Arial" w:eastAsia="Arial" w:hAnsi="Arial" w:cs="Arial"/>
          <w:sz w:val="24"/>
          <w:szCs w:val="24"/>
        </w:rPr>
        <w:t>.</w:t>
      </w:r>
    </w:p>
    <w:p w:rsidR="00B9585B" w:rsidRDefault="00B9585B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</w:p>
    <w:p w:rsidR="00B9585B" w:rsidRDefault="00B9585B" w:rsidP="00E41712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CACEI es la primera organización acreditadora que se fundó en México y contribuye a la mejora de la calidad de la enseñanz</w:t>
      </w:r>
      <w:r w:rsidR="0055636A">
        <w:rPr>
          <w:rFonts w:ascii="Arial" w:eastAsia="Arial" w:hAnsi="Arial" w:cs="Arial"/>
          <w:sz w:val="24"/>
          <w:szCs w:val="24"/>
        </w:rPr>
        <w:t xml:space="preserve">a de la ingeniería, ya que proporciona a las instituciones acreditadas los elementos objetivos y pertinentes que conduzcan a la mejora continua del programa educativo acreditado. Su directora general es la </w:t>
      </w:r>
      <w:r w:rsidR="00447E6D">
        <w:rPr>
          <w:rFonts w:ascii="Arial" w:eastAsia="Arial" w:hAnsi="Arial" w:cs="Arial"/>
          <w:sz w:val="24"/>
          <w:szCs w:val="24"/>
        </w:rPr>
        <w:t>maestra María Elena Barrera Bustillos.</w:t>
      </w:r>
    </w:p>
    <w:p w:rsidR="0052203D" w:rsidRDefault="0052203D" w:rsidP="00E41712">
      <w:pPr>
        <w:jc w:val="right"/>
        <w:rPr>
          <w:rFonts w:ascii="Arial" w:eastAsia="Arial" w:hAnsi="Arial" w:cs="Arial"/>
        </w:rPr>
      </w:pPr>
    </w:p>
    <w:p w:rsidR="00CF26AA" w:rsidRDefault="00CF26AA" w:rsidP="00E41712">
      <w:pPr>
        <w:jc w:val="right"/>
        <w:rPr>
          <w:rFonts w:ascii="Arial" w:eastAsia="Arial" w:hAnsi="Arial" w:cs="Arial"/>
        </w:rPr>
      </w:pPr>
    </w:p>
    <w:p w:rsidR="00CF26AA" w:rsidRPr="0055636A" w:rsidRDefault="00CF26AA" w:rsidP="00E41712">
      <w:pPr>
        <w:jc w:val="right"/>
        <w:rPr>
          <w:rFonts w:ascii="Arial" w:eastAsia="Arial" w:hAnsi="Arial" w:cs="Arial"/>
          <w:color w:val="FF0000"/>
        </w:rPr>
      </w:pPr>
    </w:p>
    <w:p w:rsidR="00CF26AA" w:rsidRPr="0055636A" w:rsidRDefault="00CF26AA" w:rsidP="00E41712">
      <w:pPr>
        <w:jc w:val="right"/>
        <w:rPr>
          <w:rFonts w:ascii="Arial" w:eastAsia="Arial" w:hAnsi="Arial" w:cs="Arial"/>
          <w:color w:val="FF0000"/>
        </w:rPr>
      </w:pPr>
    </w:p>
    <w:p w:rsidR="0052203D" w:rsidRPr="00393E93" w:rsidRDefault="0052203D" w:rsidP="00E41712">
      <w:pPr>
        <w:jc w:val="right"/>
        <w:rPr>
          <w:rFonts w:ascii="Arial" w:eastAsia="Arial" w:hAnsi="Arial" w:cs="Arial"/>
          <w:color w:val="FFFFFF" w:themeColor="background1"/>
        </w:rPr>
      </w:pPr>
      <w:bookmarkStart w:id="1" w:name="_GoBack"/>
    </w:p>
    <w:p w:rsidR="002C6A99" w:rsidRPr="00393E93" w:rsidRDefault="0052203D" w:rsidP="0055636A">
      <w:pPr>
        <w:jc w:val="right"/>
        <w:rPr>
          <w:rFonts w:ascii="Arial" w:eastAsia="Arial" w:hAnsi="Arial" w:cs="Arial"/>
          <w:color w:val="FFFFFF" w:themeColor="background1"/>
        </w:rPr>
      </w:pPr>
      <w:r w:rsidRPr="00393E93">
        <w:rPr>
          <w:rFonts w:ascii="Arial" w:eastAsia="Arial" w:hAnsi="Arial" w:cs="Arial"/>
          <w:color w:val="FFFFFF" w:themeColor="background1"/>
        </w:rPr>
        <w:t>Re</w:t>
      </w:r>
      <w:r w:rsidR="00E41712" w:rsidRPr="00393E93">
        <w:rPr>
          <w:rFonts w:ascii="Arial" w:eastAsia="Arial" w:hAnsi="Arial" w:cs="Arial"/>
          <w:color w:val="FFFFFF" w:themeColor="background1"/>
        </w:rPr>
        <w:t>dacción por: Héctor Castro López y Rebeca Mancilla Nieto</w:t>
      </w:r>
    </w:p>
    <w:p w:rsidR="00393E93" w:rsidRPr="00393E93" w:rsidRDefault="00393E93" w:rsidP="0055636A">
      <w:pPr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393E93">
        <w:rPr>
          <w:rFonts w:ascii="Arial" w:eastAsia="Arial" w:hAnsi="Arial" w:cs="Arial"/>
          <w:color w:val="FFFFFF" w:themeColor="background1"/>
        </w:rPr>
        <w:t>Foto; cortesía</w:t>
      </w:r>
    </w:p>
    <w:p w:rsidR="002C6A99" w:rsidRPr="00393E93" w:rsidRDefault="002C6A99" w:rsidP="002C6A99">
      <w:pPr>
        <w:shd w:val="clear" w:color="auto" w:fill="FFFFFF"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bookmarkEnd w:id="1"/>
    <w:p w:rsidR="002C6A99" w:rsidRPr="00CF26AA" w:rsidRDefault="002C6A99" w:rsidP="002C6A99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245D23" w:rsidRPr="00CF26AA" w:rsidRDefault="00245D23" w:rsidP="003D1F94">
      <w:pPr>
        <w:jc w:val="center"/>
        <w:rPr>
          <w:rFonts w:ascii="Arial" w:hAnsi="Arial" w:cs="Arial"/>
          <w:b/>
          <w:sz w:val="24"/>
          <w:szCs w:val="24"/>
        </w:rPr>
      </w:pPr>
    </w:p>
    <w:sectPr w:rsidR="00245D23" w:rsidRPr="00CF26AA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F04" w:rsidRDefault="00CD6F04">
      <w:r>
        <w:separator/>
      </w:r>
    </w:p>
  </w:endnote>
  <w:endnote w:type="continuationSeparator" w:id="0">
    <w:p w:rsidR="00CD6F04" w:rsidRDefault="00CD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F04" w:rsidRDefault="00CD6F04">
      <w:r>
        <w:rPr>
          <w:color w:val="000000"/>
        </w:rPr>
        <w:separator/>
      </w:r>
    </w:p>
  </w:footnote>
  <w:footnote w:type="continuationSeparator" w:id="0">
    <w:p w:rsidR="00CD6F04" w:rsidRDefault="00CD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9"/>
  </w:num>
  <w:num w:numId="4">
    <w:abstractNumId w:val="12"/>
  </w:num>
  <w:num w:numId="5">
    <w:abstractNumId w:val="7"/>
  </w:num>
  <w:num w:numId="6">
    <w:abstractNumId w:val="15"/>
  </w:num>
  <w:num w:numId="7">
    <w:abstractNumId w:val="16"/>
  </w:num>
  <w:num w:numId="8">
    <w:abstractNumId w:val="0"/>
  </w:num>
  <w:num w:numId="9">
    <w:abstractNumId w:val="20"/>
  </w:num>
  <w:num w:numId="10">
    <w:abstractNumId w:val="18"/>
  </w:num>
  <w:num w:numId="11">
    <w:abstractNumId w:val="3"/>
  </w:num>
  <w:num w:numId="12">
    <w:abstractNumId w:val="1"/>
  </w:num>
  <w:num w:numId="13">
    <w:abstractNumId w:val="10"/>
  </w:num>
  <w:num w:numId="14">
    <w:abstractNumId w:val="2"/>
  </w:num>
  <w:num w:numId="15">
    <w:abstractNumId w:val="19"/>
  </w:num>
  <w:num w:numId="16">
    <w:abstractNumId w:val="5"/>
  </w:num>
  <w:num w:numId="17">
    <w:abstractNumId w:val="11"/>
  </w:num>
  <w:num w:numId="18">
    <w:abstractNumId w:val="8"/>
  </w:num>
  <w:num w:numId="19">
    <w:abstractNumId w:val="6"/>
  </w:num>
  <w:num w:numId="20">
    <w:abstractNumId w:val="11"/>
  </w:num>
  <w:num w:numId="21">
    <w:abstractNumId w:val="13"/>
  </w:num>
  <w:num w:numId="2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1F0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740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DDA18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A3D4-D387-403E-8833-D1203FC95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401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15</cp:revision>
  <cp:lastPrinted>2020-03-12T17:46:00Z</cp:lastPrinted>
  <dcterms:created xsi:type="dcterms:W3CDTF">2020-06-03T21:11:00Z</dcterms:created>
  <dcterms:modified xsi:type="dcterms:W3CDTF">2020-06-04T00:05:00Z</dcterms:modified>
</cp:coreProperties>
</file>