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D04BE9">
        <w:rPr>
          <w:rFonts w:ascii="Arial" w:hAnsi="Arial" w:cs="Arial"/>
          <w:b/>
          <w:sz w:val="24"/>
          <w:szCs w:val="24"/>
        </w:rPr>
        <w:t>3</w:t>
      </w:r>
      <w:r w:rsidR="00FF2191">
        <w:rPr>
          <w:rFonts w:ascii="Arial" w:hAnsi="Arial" w:cs="Arial"/>
          <w:b/>
          <w:sz w:val="24"/>
          <w:szCs w:val="24"/>
        </w:rPr>
        <w:t>6</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EF7417" w:rsidRPr="006B1B26" w:rsidRDefault="00EF7417" w:rsidP="006B1B26">
      <w:pPr>
        <w:jc w:val="center"/>
        <w:rPr>
          <w:rFonts w:ascii="Arial" w:hAnsi="Arial" w:cs="Arial"/>
          <w:b/>
          <w:bCs/>
          <w:sz w:val="12"/>
          <w:szCs w:val="12"/>
        </w:rPr>
      </w:pPr>
    </w:p>
    <w:p w:rsidR="00565531" w:rsidRPr="00565531" w:rsidRDefault="00565531" w:rsidP="00565531">
      <w:pPr>
        <w:suppressAutoHyphens w:val="0"/>
        <w:autoSpaceDN/>
        <w:jc w:val="center"/>
        <w:textAlignment w:val="auto"/>
        <w:rPr>
          <w:rFonts w:ascii="Times New Roman" w:hAnsi="Times New Roman"/>
          <w:sz w:val="24"/>
          <w:szCs w:val="24"/>
        </w:rPr>
      </w:pPr>
      <w:r w:rsidRPr="00565531">
        <w:rPr>
          <w:rFonts w:ascii="Arial" w:hAnsi="Arial" w:cs="Arial"/>
          <w:b/>
          <w:bCs/>
          <w:sz w:val="36"/>
          <w:szCs w:val="36"/>
          <w:lang w:val="es-ES_tradnl"/>
        </w:rPr>
        <w:t>Refrenda UABC su calidad educativa a nivel mundial</w:t>
      </w:r>
    </w:p>
    <w:p w:rsidR="00565531" w:rsidRPr="00565531" w:rsidRDefault="00565531" w:rsidP="00565531">
      <w:pPr>
        <w:suppressAutoHyphens w:val="0"/>
        <w:autoSpaceDN/>
        <w:jc w:val="center"/>
        <w:textAlignment w:val="auto"/>
      </w:pPr>
      <w:r w:rsidRPr="00565531">
        <w:rPr>
          <w:rFonts w:ascii="Arial" w:hAnsi="Arial" w:cs="Arial"/>
          <w:b/>
          <w:bCs/>
          <w:color w:val="FF0000"/>
          <w:sz w:val="16"/>
          <w:szCs w:val="16"/>
          <w:lang w:val="es-ES_tradnl"/>
        </w:rPr>
        <w:t> </w:t>
      </w:r>
    </w:p>
    <w:p w:rsidR="00565531" w:rsidRPr="00565531" w:rsidRDefault="00565531" w:rsidP="00565531">
      <w:pPr>
        <w:suppressAutoHyphens w:val="0"/>
        <w:autoSpaceDN/>
        <w:ind w:left="284" w:hanging="284"/>
        <w:jc w:val="both"/>
        <w:textAlignment w:val="auto"/>
        <w:rPr>
          <w:rFonts w:ascii="Times New Roman" w:hAnsi="Times New Roman"/>
          <w:sz w:val="24"/>
          <w:szCs w:val="24"/>
        </w:rPr>
      </w:pPr>
      <w:r w:rsidRPr="00565531">
        <w:rPr>
          <w:rFonts w:ascii="Symbol" w:hAnsi="Symbol"/>
          <w:sz w:val="24"/>
          <w:szCs w:val="24"/>
        </w:rPr>
        <w:t></w:t>
      </w:r>
      <w:r w:rsidRPr="00565531">
        <w:rPr>
          <w:rFonts w:ascii="Times New Roman" w:hAnsi="Times New Roman"/>
          <w:sz w:val="14"/>
          <w:szCs w:val="14"/>
        </w:rPr>
        <w:t>     </w:t>
      </w:r>
      <w:r w:rsidRPr="00565531">
        <w:rPr>
          <w:rFonts w:ascii="Arial" w:hAnsi="Arial" w:cs="Arial"/>
          <w:sz w:val="24"/>
          <w:szCs w:val="24"/>
        </w:rPr>
        <w:t>Por cuarto año consecutivo ingresa al ranking THE que evalúa a las mejores instituciones de educación superior. Solo ingresaron 16 universidades mexicanas.</w:t>
      </w:r>
    </w:p>
    <w:p w:rsidR="00565531" w:rsidRPr="00E85404" w:rsidRDefault="00565531" w:rsidP="00565531">
      <w:pPr>
        <w:suppressAutoHyphens w:val="0"/>
        <w:autoSpaceDN/>
        <w:jc w:val="both"/>
        <w:textAlignment w:val="auto"/>
        <w:rPr>
          <w:sz w:val="16"/>
          <w:szCs w:val="16"/>
        </w:rPr>
      </w:pPr>
      <w:r w:rsidRPr="00E85404">
        <w:rPr>
          <w:rFonts w:ascii="Arial" w:hAnsi="Arial" w:cs="Arial"/>
          <w:b/>
          <w:bCs/>
          <w:sz w:val="16"/>
          <w:szCs w:val="16"/>
        </w:rPr>
        <w:t> </w:t>
      </w:r>
    </w:p>
    <w:p w:rsidR="00565531" w:rsidRPr="00E85404" w:rsidRDefault="00565531" w:rsidP="00E85404">
      <w:pPr>
        <w:autoSpaceDN/>
        <w:jc w:val="both"/>
        <w:textAlignment w:val="auto"/>
        <w:rPr>
          <w:sz w:val="24"/>
          <w:szCs w:val="24"/>
        </w:rPr>
      </w:pPr>
      <w:r w:rsidRPr="00E85404">
        <w:rPr>
          <w:rFonts w:ascii="Arial" w:hAnsi="Arial" w:cs="Arial"/>
          <w:b/>
          <w:bCs/>
          <w:sz w:val="24"/>
          <w:szCs w:val="24"/>
        </w:rPr>
        <w:t xml:space="preserve">Mexicali, B.C., </w:t>
      </w:r>
      <w:r w:rsidR="004C71F5">
        <w:rPr>
          <w:rFonts w:ascii="Arial" w:hAnsi="Arial" w:cs="Arial"/>
          <w:b/>
          <w:bCs/>
          <w:sz w:val="24"/>
          <w:szCs w:val="24"/>
        </w:rPr>
        <w:t>viernes 4</w:t>
      </w:r>
      <w:r w:rsidRPr="00E85404">
        <w:rPr>
          <w:rFonts w:ascii="Arial" w:hAnsi="Arial" w:cs="Arial"/>
          <w:b/>
          <w:bCs/>
          <w:sz w:val="24"/>
          <w:szCs w:val="24"/>
        </w:rPr>
        <w:t xml:space="preserve"> de septiembre de 2020.- </w:t>
      </w:r>
      <w:r w:rsidRPr="00E85404">
        <w:rPr>
          <w:rFonts w:ascii="Arial" w:hAnsi="Arial" w:cs="Arial"/>
          <w:sz w:val="24"/>
          <w:szCs w:val="24"/>
        </w:rPr>
        <w:t>La Universidad Autónoma de UABC por cuarta ocasión consecutiva figura en el ranking mundial</w:t>
      </w:r>
      <w:r w:rsidRPr="00E85404">
        <w:rPr>
          <w:rFonts w:ascii="Arial" w:hAnsi="Arial" w:cs="Arial"/>
          <w:b/>
          <w:bCs/>
          <w:sz w:val="24"/>
          <w:szCs w:val="24"/>
        </w:rPr>
        <w:t> </w:t>
      </w:r>
      <w:r w:rsidRPr="00E85404">
        <w:rPr>
          <w:rFonts w:ascii="Arial" w:hAnsi="Arial" w:cs="Arial"/>
          <w:sz w:val="24"/>
          <w:szCs w:val="24"/>
        </w:rPr>
        <w:t>de instituciones de educación superior Times Higher Education (THE), en el World University Rankings 2021, en el que se ubicó en la posición 1001+. De esta forma la máxima casa de estudios refrenda su calidad educativa.</w:t>
      </w:r>
    </w:p>
    <w:p w:rsidR="00565531" w:rsidRPr="00E85404" w:rsidRDefault="00565531" w:rsidP="00E85404">
      <w:pPr>
        <w:autoSpaceDN/>
        <w:jc w:val="both"/>
        <w:textAlignment w:val="auto"/>
        <w:rPr>
          <w:sz w:val="16"/>
          <w:szCs w:val="16"/>
        </w:rPr>
      </w:pPr>
      <w:r w:rsidRPr="00E85404">
        <w:rPr>
          <w:rFonts w:ascii="Arial" w:hAnsi="Arial" w:cs="Arial"/>
          <w:sz w:val="16"/>
          <w:szCs w:val="16"/>
        </w:rPr>
        <w:t> </w:t>
      </w:r>
    </w:p>
    <w:p w:rsidR="00565531" w:rsidRPr="00E85404" w:rsidRDefault="00565531" w:rsidP="00E85404">
      <w:pPr>
        <w:autoSpaceDN/>
        <w:jc w:val="both"/>
        <w:textAlignment w:val="auto"/>
        <w:rPr>
          <w:sz w:val="24"/>
          <w:szCs w:val="24"/>
        </w:rPr>
      </w:pPr>
      <w:r w:rsidRPr="00E85404">
        <w:rPr>
          <w:rFonts w:ascii="Arial" w:hAnsi="Arial" w:cs="Arial"/>
          <w:sz w:val="24"/>
          <w:szCs w:val="24"/>
        </w:rPr>
        <w:t>De acuerdo a la edición de este ranking publicado por la empresa inglesa TES Global Limited, se agruparon a las 1,500 mejores instituciones de educación superior de 93 países. La UABC forma parte de un grupo élite de 16 universidades mexicanas entre las que se encuentran: la Universidad Autónoma Metropolitana, el Instituto Tecnológico de Monterrey y la Universidad Autónoma de México.</w:t>
      </w:r>
    </w:p>
    <w:p w:rsidR="00565531" w:rsidRPr="00E85404" w:rsidRDefault="00565531" w:rsidP="00E85404">
      <w:pPr>
        <w:autoSpaceDN/>
        <w:jc w:val="both"/>
        <w:textAlignment w:val="auto"/>
        <w:rPr>
          <w:sz w:val="16"/>
          <w:szCs w:val="16"/>
        </w:rPr>
      </w:pPr>
      <w:r w:rsidRPr="00E85404">
        <w:rPr>
          <w:rFonts w:ascii="Arial" w:hAnsi="Arial" w:cs="Arial"/>
          <w:sz w:val="16"/>
          <w:szCs w:val="16"/>
        </w:rPr>
        <w:t> </w:t>
      </w:r>
    </w:p>
    <w:p w:rsidR="00565531" w:rsidRPr="00E85404" w:rsidRDefault="00565531" w:rsidP="00E85404">
      <w:pPr>
        <w:autoSpaceDN/>
        <w:jc w:val="both"/>
        <w:textAlignment w:val="auto"/>
        <w:rPr>
          <w:sz w:val="24"/>
          <w:szCs w:val="24"/>
        </w:rPr>
      </w:pPr>
      <w:r w:rsidRPr="00E85404">
        <w:rPr>
          <w:rFonts w:ascii="Arial" w:hAnsi="Arial" w:cs="Arial"/>
          <w:sz w:val="24"/>
          <w:szCs w:val="24"/>
        </w:rPr>
        <w:t>Para ingresar a este ranking se consideraron 13 indicadores que se agrupan en los siguientes criterios: docencia, ambiente educativo, citas en publicaciones, internacionalización, ingresos por transferencias tecnológicas e investigación. </w:t>
      </w:r>
      <w:r w:rsidRPr="00E85404">
        <w:rPr>
          <w:rFonts w:ascii="Arial" w:hAnsi="Arial" w:cs="Arial"/>
          <w:sz w:val="24"/>
          <w:szCs w:val="24"/>
          <w:lang w:val="es-ES"/>
        </w:rPr>
        <w:t>Las clasificaciones de THE proporcionan la lista definitiva de las mejores universidades del mundo utilizando una metodología equilibrada y completa. De esta forma, se convierte en un recurso de asesoramiento para que los estudiantes determinen cuál es la mejor opción para confiar su educación superior.</w:t>
      </w:r>
    </w:p>
    <w:p w:rsidR="00565531" w:rsidRPr="00E85404" w:rsidRDefault="00565531" w:rsidP="00E85404">
      <w:pPr>
        <w:autoSpaceDN/>
        <w:jc w:val="both"/>
        <w:textAlignment w:val="auto"/>
        <w:rPr>
          <w:sz w:val="16"/>
          <w:szCs w:val="16"/>
        </w:rPr>
      </w:pPr>
      <w:r w:rsidRPr="00E85404">
        <w:rPr>
          <w:rFonts w:ascii="Arial" w:hAnsi="Arial" w:cs="Arial"/>
          <w:color w:val="FF0000"/>
          <w:sz w:val="16"/>
          <w:szCs w:val="16"/>
          <w:lang w:val="es-ES"/>
        </w:rPr>
        <w:t> </w:t>
      </w:r>
    </w:p>
    <w:p w:rsidR="00565531" w:rsidRPr="00E85404" w:rsidRDefault="00565531" w:rsidP="00E85404">
      <w:pPr>
        <w:autoSpaceDN/>
        <w:jc w:val="both"/>
        <w:textAlignment w:val="auto"/>
        <w:rPr>
          <w:sz w:val="24"/>
          <w:szCs w:val="24"/>
        </w:rPr>
      </w:pPr>
      <w:r w:rsidRPr="00E85404">
        <w:rPr>
          <w:rFonts w:ascii="Arial" w:hAnsi="Arial" w:cs="Arial"/>
          <w:sz w:val="24"/>
          <w:szCs w:val="24"/>
        </w:rPr>
        <w:t>Cabe mencionar que la UABC también figura en el </w:t>
      </w:r>
      <w:r w:rsidRPr="00E85404">
        <w:rPr>
          <w:rFonts w:ascii="Arial" w:hAnsi="Arial" w:cs="Arial"/>
          <w:i/>
          <w:iCs/>
          <w:sz w:val="24"/>
          <w:szCs w:val="24"/>
        </w:rPr>
        <w:t>University Impact Ranking</w:t>
      </w:r>
      <w:r w:rsidRPr="00E85404">
        <w:rPr>
          <w:rFonts w:ascii="Arial" w:hAnsi="Arial" w:cs="Arial"/>
          <w:sz w:val="24"/>
          <w:szCs w:val="24"/>
        </w:rPr>
        <w:t> 2020, en el que la UABC ocupó la posición 400-600 a nivel mundial y en la posición número tres entre las universidades públicas estatales de México. Este ranking evaluó el impacto de las actividades de las principales universidades del mundo en relación con el cumplimiento de los Objetivos de Desarrollo Sostenible (ODS) propuestos por la Organización de las Naciones Unidas (ONU).</w:t>
      </w:r>
    </w:p>
    <w:p w:rsidR="00565531" w:rsidRPr="00E85404" w:rsidRDefault="00565531" w:rsidP="00E85404">
      <w:pPr>
        <w:autoSpaceDN/>
        <w:jc w:val="both"/>
        <w:textAlignment w:val="auto"/>
        <w:rPr>
          <w:sz w:val="16"/>
          <w:szCs w:val="16"/>
        </w:rPr>
      </w:pPr>
      <w:r w:rsidRPr="00E85404">
        <w:rPr>
          <w:rFonts w:ascii="Arial" w:hAnsi="Arial" w:cs="Arial"/>
          <w:sz w:val="16"/>
          <w:szCs w:val="16"/>
        </w:rPr>
        <w:t> </w:t>
      </w:r>
    </w:p>
    <w:p w:rsidR="00565531" w:rsidRDefault="00565531" w:rsidP="00E85404">
      <w:pPr>
        <w:autoSpaceDN/>
        <w:jc w:val="both"/>
        <w:textAlignment w:val="auto"/>
        <w:rPr>
          <w:rFonts w:ascii="Arial" w:hAnsi="Arial" w:cs="Arial"/>
          <w:sz w:val="24"/>
          <w:szCs w:val="24"/>
        </w:rPr>
      </w:pPr>
      <w:r w:rsidRPr="00E85404">
        <w:rPr>
          <w:rFonts w:ascii="Arial" w:hAnsi="Arial" w:cs="Arial"/>
          <w:sz w:val="24"/>
          <w:szCs w:val="24"/>
        </w:rPr>
        <w:t>Además, la UABC se ubicó en la posición 101-125 en el </w:t>
      </w:r>
      <w:r w:rsidRPr="00E85404">
        <w:rPr>
          <w:rFonts w:ascii="Arial" w:hAnsi="Arial" w:cs="Arial"/>
          <w:i/>
          <w:iCs/>
          <w:sz w:val="24"/>
          <w:szCs w:val="24"/>
        </w:rPr>
        <w:t>Latin America University Ranking</w:t>
      </w:r>
      <w:r w:rsidRPr="00E85404">
        <w:rPr>
          <w:rFonts w:ascii="Arial" w:hAnsi="Arial" w:cs="Arial"/>
          <w:sz w:val="24"/>
          <w:szCs w:val="24"/>
        </w:rPr>
        <w:t> 2020, lo que refrendó su posición como la mejor universidad pública estatal de la región noroeste de México y entre las 10 mejores del país, incluyendo las universidades públicas federales, estatales y privadas. Este ranking evalúa el desempeño de las principales universidades de América Latina en docencia, investigación, transferencia del conocimiento y presencia internacional.</w:t>
      </w:r>
    </w:p>
    <w:p w:rsidR="00E85404" w:rsidRPr="00E85404" w:rsidRDefault="00E85404" w:rsidP="00E85404">
      <w:pPr>
        <w:autoSpaceDN/>
        <w:jc w:val="both"/>
        <w:textAlignment w:val="auto"/>
        <w:rPr>
          <w:rFonts w:ascii="Arial" w:hAnsi="Arial" w:cs="Arial"/>
          <w:sz w:val="16"/>
          <w:szCs w:val="16"/>
        </w:rPr>
      </w:pPr>
    </w:p>
    <w:p w:rsidR="00E85404" w:rsidRDefault="00E85404" w:rsidP="00E85404">
      <w:pPr>
        <w:autoSpaceDN/>
        <w:jc w:val="both"/>
        <w:textAlignment w:val="auto"/>
        <w:rPr>
          <w:rFonts w:ascii="Arial" w:hAnsi="Arial" w:cs="Arial"/>
          <w:sz w:val="24"/>
          <w:szCs w:val="24"/>
        </w:rPr>
      </w:pPr>
      <w:r>
        <w:rPr>
          <w:rFonts w:ascii="Arial" w:hAnsi="Arial" w:cs="Arial"/>
          <w:sz w:val="24"/>
          <w:szCs w:val="24"/>
        </w:rPr>
        <w:t xml:space="preserve">El rector de la UABC, doctor Daniel Octavio Valdez Delgadillo, manifestó que además de los esfuerzos institucionales para mantener la calidad de sus procesos de enseñanza aprendizaje, también se trabaja para brindar mayores espacios educativos. Ejemplificó que en el presente proceso de admisión para el ciclo escolar 2020-2 y 2021-1 se ofertaron </w:t>
      </w:r>
      <w:r w:rsidR="00565531" w:rsidRPr="00E85404">
        <w:rPr>
          <w:rFonts w:ascii="Arial" w:hAnsi="Arial" w:cs="Arial"/>
          <w:sz w:val="24"/>
          <w:szCs w:val="24"/>
        </w:rPr>
        <w:t>22,180</w:t>
      </w:r>
      <w:r>
        <w:rPr>
          <w:rFonts w:ascii="Arial" w:hAnsi="Arial" w:cs="Arial"/>
          <w:sz w:val="24"/>
          <w:szCs w:val="24"/>
        </w:rPr>
        <w:t xml:space="preserve"> lugares</w:t>
      </w:r>
      <w:r w:rsidR="00565531" w:rsidRPr="00E85404">
        <w:rPr>
          <w:rFonts w:ascii="Arial" w:hAnsi="Arial" w:cs="Arial"/>
          <w:sz w:val="24"/>
          <w:szCs w:val="24"/>
        </w:rPr>
        <w:t xml:space="preserve"> y se aplicaron 28,</w:t>
      </w:r>
      <w:r>
        <w:rPr>
          <w:rFonts w:ascii="Arial" w:hAnsi="Arial" w:cs="Arial"/>
          <w:sz w:val="24"/>
          <w:szCs w:val="24"/>
        </w:rPr>
        <w:t>317</w:t>
      </w:r>
      <w:r w:rsidR="00565531" w:rsidRPr="00E85404">
        <w:rPr>
          <w:rFonts w:ascii="Arial" w:hAnsi="Arial" w:cs="Arial"/>
          <w:sz w:val="24"/>
          <w:szCs w:val="24"/>
        </w:rPr>
        <w:t xml:space="preserve"> exámenes, </w:t>
      </w:r>
      <w:r>
        <w:rPr>
          <w:rFonts w:ascii="Arial" w:hAnsi="Arial" w:cs="Arial"/>
          <w:sz w:val="24"/>
          <w:szCs w:val="24"/>
        </w:rPr>
        <w:t xml:space="preserve">de los cuales fueron </w:t>
      </w:r>
      <w:r w:rsidRPr="008B72D7">
        <w:rPr>
          <w:rFonts w:ascii="Arial" w:hAnsi="Arial" w:cs="Arial"/>
          <w:color w:val="262626"/>
          <w:spacing w:val="-2"/>
          <w:sz w:val="24"/>
          <w:szCs w:val="24"/>
          <w:lang w:val="es-ES_tradnl"/>
        </w:rPr>
        <w:t xml:space="preserve">seleccionados en su primera opción de carrera 16,558 aspirantes, </w:t>
      </w:r>
      <w:r w:rsidRPr="00E85404">
        <w:rPr>
          <w:rFonts w:ascii="Arial" w:hAnsi="Arial" w:cs="Arial"/>
          <w:sz w:val="24"/>
          <w:szCs w:val="24"/>
        </w:rPr>
        <w:t>lo que representa una admisión del 58%.</w:t>
      </w:r>
      <w:r>
        <w:rPr>
          <w:rFonts w:ascii="Arial" w:hAnsi="Arial" w:cs="Arial"/>
          <w:sz w:val="24"/>
          <w:szCs w:val="24"/>
        </w:rPr>
        <w:t xml:space="preserve"> </w:t>
      </w:r>
    </w:p>
    <w:p w:rsidR="00E85404" w:rsidRPr="00E85404" w:rsidRDefault="00E85404" w:rsidP="00E85404">
      <w:pPr>
        <w:autoSpaceDN/>
        <w:jc w:val="both"/>
        <w:textAlignment w:val="auto"/>
        <w:rPr>
          <w:rFonts w:ascii="Arial" w:hAnsi="Arial" w:cs="Arial"/>
          <w:sz w:val="16"/>
          <w:szCs w:val="16"/>
        </w:rPr>
      </w:pPr>
    </w:p>
    <w:p w:rsidR="00F14F11" w:rsidRDefault="00E85404" w:rsidP="00E85404">
      <w:pPr>
        <w:autoSpaceDN/>
        <w:jc w:val="both"/>
        <w:textAlignment w:val="auto"/>
        <w:rPr>
          <w:rFonts w:ascii="Arial" w:hAnsi="Arial" w:cs="Arial"/>
          <w:sz w:val="24"/>
          <w:szCs w:val="24"/>
        </w:rPr>
      </w:pPr>
      <w:r>
        <w:rPr>
          <w:rFonts w:ascii="Arial" w:hAnsi="Arial" w:cs="Arial"/>
          <w:sz w:val="24"/>
          <w:szCs w:val="24"/>
        </w:rPr>
        <w:t xml:space="preserve">Agregó que quedan </w:t>
      </w:r>
      <w:r w:rsidR="00F14F11">
        <w:rPr>
          <w:rFonts w:ascii="Arial" w:hAnsi="Arial" w:cs="Arial"/>
          <w:sz w:val="24"/>
          <w:szCs w:val="24"/>
        </w:rPr>
        <w:t>cerca</w:t>
      </w:r>
      <w:r>
        <w:rPr>
          <w:rFonts w:ascii="Arial" w:hAnsi="Arial" w:cs="Arial"/>
          <w:sz w:val="24"/>
          <w:szCs w:val="24"/>
        </w:rPr>
        <w:t xml:space="preserve"> de 5,600 espacios disponibles para la modalidad de segunda opción de carrera que</w:t>
      </w:r>
      <w:r w:rsidR="00F14F11">
        <w:rPr>
          <w:rFonts w:ascii="Arial" w:hAnsi="Arial" w:cs="Arial"/>
          <w:sz w:val="24"/>
          <w:szCs w:val="24"/>
        </w:rPr>
        <w:t>,</w:t>
      </w:r>
      <w:r>
        <w:rPr>
          <w:rFonts w:ascii="Arial" w:hAnsi="Arial" w:cs="Arial"/>
          <w:sz w:val="24"/>
          <w:szCs w:val="24"/>
        </w:rPr>
        <w:t xml:space="preserve"> </w:t>
      </w:r>
      <w:r w:rsidR="00565531" w:rsidRPr="00E85404">
        <w:rPr>
          <w:rFonts w:ascii="Arial" w:hAnsi="Arial" w:cs="Arial"/>
          <w:sz w:val="24"/>
          <w:szCs w:val="24"/>
        </w:rPr>
        <w:t>si se llegan a ocupar en su totalidad, se tend</w:t>
      </w:r>
      <w:r w:rsidR="00F14F11">
        <w:rPr>
          <w:rFonts w:ascii="Arial" w:hAnsi="Arial" w:cs="Arial"/>
          <w:sz w:val="24"/>
          <w:szCs w:val="24"/>
        </w:rPr>
        <w:t>r</w:t>
      </w:r>
      <w:r w:rsidR="00565531" w:rsidRPr="00E85404">
        <w:rPr>
          <w:rFonts w:ascii="Arial" w:hAnsi="Arial" w:cs="Arial"/>
          <w:sz w:val="24"/>
          <w:szCs w:val="24"/>
        </w:rPr>
        <w:t xml:space="preserve">ía una admisión del 78%. </w:t>
      </w:r>
      <w:r w:rsidR="00F14F11">
        <w:rPr>
          <w:rFonts w:ascii="Arial" w:hAnsi="Arial" w:cs="Arial"/>
          <w:sz w:val="24"/>
          <w:szCs w:val="24"/>
        </w:rPr>
        <w:t>“</w:t>
      </w:r>
      <w:r w:rsidR="00565531" w:rsidRPr="00E85404">
        <w:rPr>
          <w:rFonts w:ascii="Arial" w:hAnsi="Arial" w:cs="Arial"/>
          <w:sz w:val="24"/>
          <w:szCs w:val="24"/>
        </w:rPr>
        <w:t>Si hacemos un comparativo nacional estamos</w:t>
      </w:r>
      <w:r w:rsidR="00F14F11">
        <w:rPr>
          <w:rFonts w:ascii="Arial" w:hAnsi="Arial" w:cs="Arial"/>
          <w:sz w:val="24"/>
          <w:szCs w:val="24"/>
        </w:rPr>
        <w:t xml:space="preserve"> </w:t>
      </w:r>
      <w:r w:rsidR="00565531" w:rsidRPr="00E85404">
        <w:rPr>
          <w:rFonts w:ascii="Arial" w:hAnsi="Arial" w:cs="Arial"/>
          <w:sz w:val="24"/>
          <w:szCs w:val="24"/>
        </w:rPr>
        <w:t xml:space="preserve">muy por encima de la mayoría de las universidades, hay algunas que solo aceptan </w:t>
      </w:r>
      <w:r w:rsidR="00F14F11">
        <w:rPr>
          <w:rFonts w:ascii="Arial" w:hAnsi="Arial" w:cs="Arial"/>
          <w:sz w:val="24"/>
          <w:szCs w:val="24"/>
        </w:rPr>
        <w:t>entre el</w:t>
      </w:r>
      <w:r w:rsidR="00565531" w:rsidRPr="00E85404">
        <w:rPr>
          <w:rFonts w:ascii="Arial" w:hAnsi="Arial" w:cs="Arial"/>
          <w:sz w:val="24"/>
          <w:szCs w:val="24"/>
        </w:rPr>
        <w:t xml:space="preserve"> 10% </w:t>
      </w:r>
      <w:r w:rsidR="00F14F11">
        <w:rPr>
          <w:rFonts w:ascii="Arial" w:hAnsi="Arial" w:cs="Arial"/>
          <w:sz w:val="24"/>
          <w:szCs w:val="24"/>
        </w:rPr>
        <w:t xml:space="preserve">y 30% </w:t>
      </w:r>
      <w:r w:rsidR="00565531" w:rsidRPr="00E85404">
        <w:rPr>
          <w:rFonts w:ascii="Arial" w:hAnsi="Arial" w:cs="Arial"/>
          <w:sz w:val="24"/>
          <w:szCs w:val="24"/>
        </w:rPr>
        <w:t>de sus aspirantes</w:t>
      </w:r>
      <w:r w:rsidR="00F14F11">
        <w:rPr>
          <w:rFonts w:ascii="Arial" w:hAnsi="Arial" w:cs="Arial"/>
          <w:sz w:val="24"/>
          <w:szCs w:val="24"/>
        </w:rPr>
        <w:t>”, expresó.</w:t>
      </w:r>
    </w:p>
    <w:p w:rsidR="00F14F11" w:rsidRDefault="00F14F11" w:rsidP="00E85404">
      <w:pPr>
        <w:autoSpaceDN/>
        <w:jc w:val="both"/>
        <w:textAlignment w:val="auto"/>
        <w:rPr>
          <w:rFonts w:ascii="Arial" w:hAnsi="Arial" w:cs="Arial"/>
          <w:sz w:val="24"/>
          <w:szCs w:val="24"/>
        </w:rPr>
      </w:pPr>
    </w:p>
    <w:p w:rsidR="00F14F11" w:rsidRDefault="00F14F11" w:rsidP="00E85404">
      <w:pPr>
        <w:autoSpaceDN/>
        <w:jc w:val="both"/>
        <w:textAlignment w:val="auto"/>
        <w:rPr>
          <w:rFonts w:ascii="Arial" w:hAnsi="Arial" w:cs="Arial"/>
          <w:sz w:val="24"/>
          <w:szCs w:val="24"/>
        </w:rPr>
      </w:pPr>
    </w:p>
    <w:p w:rsidR="00F14F11" w:rsidRDefault="00F14F11" w:rsidP="00E85404">
      <w:pPr>
        <w:autoSpaceDN/>
        <w:jc w:val="both"/>
        <w:textAlignment w:val="auto"/>
        <w:rPr>
          <w:rFonts w:ascii="Arial" w:hAnsi="Arial" w:cs="Arial"/>
          <w:sz w:val="24"/>
          <w:szCs w:val="24"/>
        </w:rPr>
      </w:pPr>
    </w:p>
    <w:p w:rsidR="00565531" w:rsidRPr="00E85404" w:rsidRDefault="00F14F11" w:rsidP="00E85404">
      <w:pPr>
        <w:autoSpaceDN/>
        <w:jc w:val="both"/>
        <w:textAlignment w:val="auto"/>
        <w:rPr>
          <w:rFonts w:ascii="Arial" w:hAnsi="Arial" w:cs="Arial"/>
          <w:sz w:val="24"/>
          <w:szCs w:val="24"/>
        </w:rPr>
      </w:pPr>
      <w:r>
        <w:rPr>
          <w:rFonts w:ascii="Arial" w:hAnsi="Arial" w:cs="Arial"/>
          <w:sz w:val="24"/>
          <w:szCs w:val="24"/>
        </w:rPr>
        <w:t xml:space="preserve">Señaló que a pesar de que la UABC cuenta con una deuda histórica por parte del gobierno estatal, la cual espera quede saldada para el 1 de noviembre de 2020, la institución no se detiene y continúa ofreciendo a su comunidad estudiantil conformada por cerca de 65,000 alumnos y a la sociedad en general, sus funciones sustantivas de </w:t>
      </w:r>
      <w:r w:rsidR="00565531" w:rsidRPr="00E85404">
        <w:rPr>
          <w:rFonts w:ascii="Arial" w:hAnsi="Arial" w:cs="Arial"/>
          <w:sz w:val="24"/>
          <w:szCs w:val="24"/>
        </w:rPr>
        <w:t>docencia, investigación y extensión de la cultura y la ciencia.</w:t>
      </w:r>
    </w:p>
    <w:p w:rsidR="00565531" w:rsidRPr="00970071" w:rsidRDefault="00565531" w:rsidP="00DE6B28">
      <w:pPr>
        <w:shd w:val="clear" w:color="auto" w:fill="FFFFFF"/>
        <w:autoSpaceDN/>
        <w:jc w:val="both"/>
        <w:textAlignment w:val="auto"/>
        <w:rPr>
          <w:rFonts w:ascii="Arial" w:hAnsi="Arial" w:cs="Arial"/>
          <w:color w:val="FF0000"/>
          <w:sz w:val="12"/>
        </w:rPr>
      </w:pPr>
    </w:p>
    <w:p w:rsidR="00970071" w:rsidRPr="00D8668B" w:rsidRDefault="00970071" w:rsidP="00970071">
      <w:pPr>
        <w:shd w:val="clear" w:color="auto" w:fill="FFFFFF"/>
        <w:jc w:val="both"/>
        <w:rPr>
          <w:rFonts w:ascii="Arial" w:hAnsi="Arial" w:cs="Arial"/>
          <w:color w:val="FF0000"/>
          <w:sz w:val="24"/>
          <w:szCs w:val="24"/>
        </w:rPr>
      </w:pPr>
      <w:r w:rsidRPr="00D8668B">
        <w:rPr>
          <w:rFonts w:ascii="Arial" w:hAnsi="Arial" w:cs="Arial"/>
          <w:color w:val="FF0000"/>
          <w:sz w:val="24"/>
          <w:szCs w:val="24"/>
        </w:rPr>
        <w:t> </w:t>
      </w:r>
    </w:p>
    <w:p w:rsidR="00970071" w:rsidRDefault="00970071" w:rsidP="001A5EB9">
      <w:pPr>
        <w:shd w:val="clear" w:color="auto" w:fill="FFFFFF"/>
        <w:jc w:val="both"/>
        <w:rPr>
          <w:rFonts w:ascii="Arial" w:hAnsi="Arial" w:cs="Arial"/>
          <w:color w:val="222222"/>
          <w:sz w:val="24"/>
          <w:szCs w:val="24"/>
        </w:rPr>
      </w:pPr>
      <w:bookmarkStart w:id="1" w:name="_GoBack"/>
    </w:p>
    <w:p w:rsidR="00783F2E" w:rsidRPr="00F14F11" w:rsidRDefault="00783F2E" w:rsidP="00783F2E">
      <w:pPr>
        <w:shd w:val="clear" w:color="auto" w:fill="FFFFFF"/>
        <w:suppressAutoHyphens w:val="0"/>
        <w:autoSpaceDN/>
        <w:jc w:val="both"/>
        <w:textAlignment w:val="auto"/>
        <w:rPr>
          <w:rFonts w:ascii="Arial" w:hAnsi="Arial" w:cs="Arial"/>
          <w:color w:val="FF0000"/>
          <w:sz w:val="24"/>
          <w:szCs w:val="24"/>
        </w:rPr>
      </w:pPr>
      <w:r w:rsidRPr="00783F2E">
        <w:rPr>
          <w:rFonts w:ascii="Arial" w:hAnsi="Arial" w:cs="Arial"/>
          <w:b/>
          <w:bCs/>
          <w:color w:val="222222"/>
          <w:sz w:val="10"/>
          <w:szCs w:val="10"/>
        </w:rPr>
        <w:t> </w:t>
      </w:r>
    </w:p>
    <w:p w:rsidR="00783F2E" w:rsidRPr="00CF13CC" w:rsidRDefault="00783F2E" w:rsidP="00C4580C">
      <w:pPr>
        <w:jc w:val="both"/>
        <w:rPr>
          <w:rFonts w:ascii="Arial" w:hAnsi="Arial" w:cs="Arial"/>
          <w:color w:val="FFFFFF" w:themeColor="background1"/>
          <w:sz w:val="24"/>
          <w:szCs w:val="24"/>
        </w:rPr>
      </w:pPr>
    </w:p>
    <w:p w:rsidR="001B23EB" w:rsidRPr="00CF13CC" w:rsidRDefault="00D04BE9" w:rsidP="001B23EB">
      <w:pPr>
        <w:jc w:val="right"/>
        <w:rPr>
          <w:b/>
          <w:bCs/>
          <w:color w:val="FFFFFF" w:themeColor="background1"/>
          <w:shd w:val="clear" w:color="auto" w:fill="FFFFFF"/>
        </w:rPr>
      </w:pPr>
      <w:r w:rsidRPr="00CF13CC">
        <w:rPr>
          <w:b/>
          <w:bCs/>
          <w:color w:val="FFFFFF" w:themeColor="background1"/>
          <w:shd w:val="clear" w:color="auto" w:fill="FFFFFF"/>
        </w:rPr>
        <w:t>Redacción y fotos</w:t>
      </w:r>
      <w:r w:rsidR="001B23EB" w:rsidRPr="00CF13CC">
        <w:rPr>
          <w:b/>
          <w:bCs/>
          <w:color w:val="FFFFFF" w:themeColor="background1"/>
          <w:shd w:val="clear" w:color="auto" w:fill="FFFFFF"/>
        </w:rPr>
        <w:t xml:space="preserve">: </w:t>
      </w:r>
      <w:r w:rsidR="00B71336" w:rsidRPr="00CF13CC">
        <w:rPr>
          <w:b/>
          <w:bCs/>
          <w:color w:val="FFFFFF" w:themeColor="background1"/>
          <w:shd w:val="clear" w:color="auto" w:fill="FFFFFF"/>
        </w:rPr>
        <w:t>Norma Angélica Gómez Bravo</w:t>
      </w:r>
    </w:p>
    <w:bookmarkEnd w:id="1"/>
    <w:p w:rsidR="001B23EB" w:rsidRPr="003317C6" w:rsidRDefault="00713B9C" w:rsidP="001B23EB">
      <w:pPr>
        <w:jc w:val="right"/>
        <w:rPr>
          <w:rFonts w:ascii="Arial" w:hAnsi="Arial" w:cs="Arial"/>
          <w:bCs/>
          <w:color w:val="FF0000"/>
          <w:sz w:val="24"/>
          <w:szCs w:val="24"/>
          <w:lang w:eastAsia="es-ES"/>
        </w:rPr>
      </w:pPr>
      <w:r w:rsidRPr="003317C6">
        <w:rPr>
          <w:b/>
          <w:bCs/>
          <w:color w:val="FF0000"/>
          <w:shd w:val="clear" w:color="auto" w:fill="FFFFFF"/>
        </w:rPr>
        <w:t xml:space="preserve"> </w:t>
      </w:r>
    </w:p>
    <w:sectPr w:rsidR="001B23EB" w:rsidRPr="003317C6"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47B" w:rsidRDefault="00C3147B">
      <w:r>
        <w:separator/>
      </w:r>
    </w:p>
  </w:endnote>
  <w:endnote w:type="continuationSeparator" w:id="0">
    <w:p w:rsidR="00C3147B" w:rsidRDefault="00C3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47B" w:rsidRDefault="00C3147B">
      <w:r>
        <w:rPr>
          <w:color w:val="000000"/>
        </w:rPr>
        <w:separator/>
      </w:r>
    </w:p>
  </w:footnote>
  <w:footnote w:type="continuationSeparator" w:id="0">
    <w:p w:rsidR="00C3147B" w:rsidRDefault="00C314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32B"/>
    <w:multiLevelType w:val="hybridMultilevel"/>
    <w:tmpl w:val="1A6AD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A2A0390"/>
    <w:multiLevelType w:val="hybridMultilevel"/>
    <w:tmpl w:val="CDCCA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D7D74BB"/>
    <w:multiLevelType w:val="hybridMultilevel"/>
    <w:tmpl w:val="0AE44E74"/>
    <w:lvl w:ilvl="0" w:tplc="50A63F8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5044715"/>
    <w:multiLevelType w:val="hybridMultilevel"/>
    <w:tmpl w:val="635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644620C4"/>
    <w:multiLevelType w:val="hybridMultilevel"/>
    <w:tmpl w:val="89865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BE74875"/>
    <w:multiLevelType w:val="hybridMultilevel"/>
    <w:tmpl w:val="F6941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AEA26FC"/>
    <w:multiLevelType w:val="hybridMultilevel"/>
    <w:tmpl w:val="AC2E1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8"/>
  </w:num>
  <w:num w:numId="7">
    <w:abstractNumId w:val="3"/>
  </w:num>
  <w:num w:numId="8">
    <w:abstractNumId w:val="0"/>
  </w:num>
  <w:num w:numId="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32B8"/>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882"/>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562C"/>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84"/>
    <w:rsid w:val="000867E9"/>
    <w:rsid w:val="00086A46"/>
    <w:rsid w:val="00086B2F"/>
    <w:rsid w:val="00086B65"/>
    <w:rsid w:val="00086CE2"/>
    <w:rsid w:val="00086D0D"/>
    <w:rsid w:val="00087009"/>
    <w:rsid w:val="000871D0"/>
    <w:rsid w:val="0008770C"/>
    <w:rsid w:val="00087A44"/>
    <w:rsid w:val="00087C18"/>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C7C"/>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69"/>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0E5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33D"/>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7"/>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573"/>
    <w:rsid w:val="00133845"/>
    <w:rsid w:val="001338F2"/>
    <w:rsid w:val="00133C22"/>
    <w:rsid w:val="00133C3C"/>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191"/>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132"/>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5EB9"/>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3EB"/>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1BD"/>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12A"/>
    <w:rsid w:val="001E76FB"/>
    <w:rsid w:val="001E7894"/>
    <w:rsid w:val="001E7E00"/>
    <w:rsid w:val="001F05C0"/>
    <w:rsid w:val="001F0AC8"/>
    <w:rsid w:val="001F109B"/>
    <w:rsid w:val="001F16D1"/>
    <w:rsid w:val="001F178D"/>
    <w:rsid w:val="001F1FEF"/>
    <w:rsid w:val="001F2158"/>
    <w:rsid w:val="001F2817"/>
    <w:rsid w:val="001F2B6E"/>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8F9"/>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0"/>
    <w:rsid w:val="00215ECA"/>
    <w:rsid w:val="00215EF1"/>
    <w:rsid w:val="00216752"/>
    <w:rsid w:val="00216907"/>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3EE4"/>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3C3"/>
    <w:rsid w:val="00232618"/>
    <w:rsid w:val="002329F8"/>
    <w:rsid w:val="00232B70"/>
    <w:rsid w:val="00232BF8"/>
    <w:rsid w:val="00232CD3"/>
    <w:rsid w:val="00232DB4"/>
    <w:rsid w:val="00233216"/>
    <w:rsid w:val="002335F8"/>
    <w:rsid w:val="002337EC"/>
    <w:rsid w:val="00233BA9"/>
    <w:rsid w:val="00233BDA"/>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2D17"/>
    <w:rsid w:val="0024349C"/>
    <w:rsid w:val="00243781"/>
    <w:rsid w:val="00243C85"/>
    <w:rsid w:val="0024424E"/>
    <w:rsid w:val="00244C1C"/>
    <w:rsid w:val="002451D5"/>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1E2"/>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94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915"/>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1"/>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2F3"/>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D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144"/>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642"/>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2EF"/>
    <w:rsid w:val="00323734"/>
    <w:rsid w:val="00323B9D"/>
    <w:rsid w:val="003240D3"/>
    <w:rsid w:val="003245FC"/>
    <w:rsid w:val="00324949"/>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C6"/>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35"/>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0D0"/>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3D"/>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6B"/>
    <w:rsid w:val="003C70D0"/>
    <w:rsid w:val="003C76B0"/>
    <w:rsid w:val="003C7AE8"/>
    <w:rsid w:val="003C7BA6"/>
    <w:rsid w:val="003C7FCA"/>
    <w:rsid w:val="003D083F"/>
    <w:rsid w:val="003D0B4B"/>
    <w:rsid w:val="003D0DCA"/>
    <w:rsid w:val="003D130C"/>
    <w:rsid w:val="003D15D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2C9"/>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4921"/>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012"/>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56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42F"/>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26"/>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968"/>
    <w:rsid w:val="00485BF3"/>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19"/>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CB"/>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2F97"/>
    <w:rsid w:val="004C3117"/>
    <w:rsid w:val="004C39E5"/>
    <w:rsid w:val="004C4590"/>
    <w:rsid w:val="004C4A92"/>
    <w:rsid w:val="004C5219"/>
    <w:rsid w:val="004C548B"/>
    <w:rsid w:val="004C5882"/>
    <w:rsid w:val="004C5939"/>
    <w:rsid w:val="004C610C"/>
    <w:rsid w:val="004C6256"/>
    <w:rsid w:val="004C6BCE"/>
    <w:rsid w:val="004C6F77"/>
    <w:rsid w:val="004C7128"/>
    <w:rsid w:val="004C71F5"/>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B1F"/>
    <w:rsid w:val="004D5F71"/>
    <w:rsid w:val="004D602F"/>
    <w:rsid w:val="004D62D5"/>
    <w:rsid w:val="004D6471"/>
    <w:rsid w:val="004D6601"/>
    <w:rsid w:val="004D69C4"/>
    <w:rsid w:val="004D6EB1"/>
    <w:rsid w:val="004D7BF4"/>
    <w:rsid w:val="004D7F75"/>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3CF3"/>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30E"/>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0D9"/>
    <w:rsid w:val="0054791A"/>
    <w:rsid w:val="00547993"/>
    <w:rsid w:val="00547A68"/>
    <w:rsid w:val="00547B93"/>
    <w:rsid w:val="00547CF0"/>
    <w:rsid w:val="00550559"/>
    <w:rsid w:val="00550766"/>
    <w:rsid w:val="00550D51"/>
    <w:rsid w:val="005510D8"/>
    <w:rsid w:val="0055151E"/>
    <w:rsid w:val="0055194D"/>
    <w:rsid w:val="00551F9A"/>
    <w:rsid w:val="0055202E"/>
    <w:rsid w:val="005522DE"/>
    <w:rsid w:val="0055263B"/>
    <w:rsid w:val="00552B4C"/>
    <w:rsid w:val="00552FAE"/>
    <w:rsid w:val="00553080"/>
    <w:rsid w:val="00553115"/>
    <w:rsid w:val="005533B5"/>
    <w:rsid w:val="0055387C"/>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531"/>
    <w:rsid w:val="00565BFD"/>
    <w:rsid w:val="00566545"/>
    <w:rsid w:val="0056680F"/>
    <w:rsid w:val="00566AAD"/>
    <w:rsid w:val="00566B0C"/>
    <w:rsid w:val="00566F8D"/>
    <w:rsid w:val="005675FE"/>
    <w:rsid w:val="00567A70"/>
    <w:rsid w:val="00567C69"/>
    <w:rsid w:val="005703DF"/>
    <w:rsid w:val="0057167C"/>
    <w:rsid w:val="00571B00"/>
    <w:rsid w:val="00571B94"/>
    <w:rsid w:val="00571BC7"/>
    <w:rsid w:val="005723B2"/>
    <w:rsid w:val="005723F7"/>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8E7"/>
    <w:rsid w:val="00577BC1"/>
    <w:rsid w:val="00577D9C"/>
    <w:rsid w:val="00577E85"/>
    <w:rsid w:val="00577EFA"/>
    <w:rsid w:val="00577FD8"/>
    <w:rsid w:val="00580B47"/>
    <w:rsid w:val="0058144C"/>
    <w:rsid w:val="005815F4"/>
    <w:rsid w:val="005817DF"/>
    <w:rsid w:val="005817F8"/>
    <w:rsid w:val="00581CC3"/>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AD7"/>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B7E1F"/>
    <w:rsid w:val="005C0E6A"/>
    <w:rsid w:val="005C177C"/>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54B"/>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133"/>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5F7ED2"/>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1C"/>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3BE"/>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7D4"/>
    <w:rsid w:val="006328DC"/>
    <w:rsid w:val="006329FA"/>
    <w:rsid w:val="00632A07"/>
    <w:rsid w:val="00632BC2"/>
    <w:rsid w:val="00633061"/>
    <w:rsid w:val="006339E1"/>
    <w:rsid w:val="00633C10"/>
    <w:rsid w:val="00634374"/>
    <w:rsid w:val="006350CF"/>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C9E"/>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6913"/>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1B26"/>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656E"/>
    <w:rsid w:val="006B72F4"/>
    <w:rsid w:val="006B73CC"/>
    <w:rsid w:val="006B7504"/>
    <w:rsid w:val="006B75FC"/>
    <w:rsid w:val="006C0255"/>
    <w:rsid w:val="006C04B2"/>
    <w:rsid w:val="006C0D11"/>
    <w:rsid w:val="006C0DCF"/>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173"/>
    <w:rsid w:val="006D0D05"/>
    <w:rsid w:val="006D156B"/>
    <w:rsid w:val="006D16C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E7BF7"/>
    <w:rsid w:val="006F01A6"/>
    <w:rsid w:val="006F0362"/>
    <w:rsid w:val="006F067B"/>
    <w:rsid w:val="006F0729"/>
    <w:rsid w:val="006F0A62"/>
    <w:rsid w:val="006F0A66"/>
    <w:rsid w:val="006F0C46"/>
    <w:rsid w:val="006F1151"/>
    <w:rsid w:val="006F1AFA"/>
    <w:rsid w:val="006F1AFF"/>
    <w:rsid w:val="006F214B"/>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43B"/>
    <w:rsid w:val="007015D6"/>
    <w:rsid w:val="00701F8E"/>
    <w:rsid w:val="00702661"/>
    <w:rsid w:val="00702E2D"/>
    <w:rsid w:val="00702F61"/>
    <w:rsid w:val="0070302C"/>
    <w:rsid w:val="007033F2"/>
    <w:rsid w:val="00703E04"/>
    <w:rsid w:val="007045B8"/>
    <w:rsid w:val="00704E05"/>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52"/>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3B9C"/>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17DBC"/>
    <w:rsid w:val="00720164"/>
    <w:rsid w:val="007205E0"/>
    <w:rsid w:val="007206D2"/>
    <w:rsid w:val="007209E2"/>
    <w:rsid w:val="007210E8"/>
    <w:rsid w:val="00721180"/>
    <w:rsid w:val="00721397"/>
    <w:rsid w:val="0072161A"/>
    <w:rsid w:val="00721FFA"/>
    <w:rsid w:val="0072239A"/>
    <w:rsid w:val="007223F1"/>
    <w:rsid w:val="0072284D"/>
    <w:rsid w:val="00722A14"/>
    <w:rsid w:val="00722E90"/>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7F5"/>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15E"/>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8E4"/>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6B"/>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3F2E"/>
    <w:rsid w:val="00784166"/>
    <w:rsid w:val="00784183"/>
    <w:rsid w:val="0078424E"/>
    <w:rsid w:val="007844BE"/>
    <w:rsid w:val="007848FB"/>
    <w:rsid w:val="00784AB8"/>
    <w:rsid w:val="00784B8E"/>
    <w:rsid w:val="00784F52"/>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6B7"/>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0B2"/>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0C9"/>
    <w:rsid w:val="007E24B9"/>
    <w:rsid w:val="007E2824"/>
    <w:rsid w:val="007E2BF9"/>
    <w:rsid w:val="007E2C4C"/>
    <w:rsid w:val="007E2DA9"/>
    <w:rsid w:val="007E30DB"/>
    <w:rsid w:val="007E3D3B"/>
    <w:rsid w:val="007E3F4C"/>
    <w:rsid w:val="007E3FAC"/>
    <w:rsid w:val="007E3FF5"/>
    <w:rsid w:val="007E41A7"/>
    <w:rsid w:val="007E4827"/>
    <w:rsid w:val="007E489D"/>
    <w:rsid w:val="007E5385"/>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6"/>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70"/>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39D"/>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972"/>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1E7"/>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5FFD"/>
    <w:rsid w:val="008B67AB"/>
    <w:rsid w:val="008B67F5"/>
    <w:rsid w:val="008B6D43"/>
    <w:rsid w:val="008B7014"/>
    <w:rsid w:val="008B72D7"/>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47"/>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69C"/>
    <w:rsid w:val="008F2A67"/>
    <w:rsid w:val="008F2D6A"/>
    <w:rsid w:val="008F3366"/>
    <w:rsid w:val="008F3B6C"/>
    <w:rsid w:val="008F3EC2"/>
    <w:rsid w:val="008F45CB"/>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9EC"/>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4DD5"/>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B33"/>
    <w:rsid w:val="00941CE2"/>
    <w:rsid w:val="0094216C"/>
    <w:rsid w:val="009422A8"/>
    <w:rsid w:val="009426D8"/>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820"/>
    <w:rsid w:val="0096790F"/>
    <w:rsid w:val="0097001A"/>
    <w:rsid w:val="00970071"/>
    <w:rsid w:val="009702E8"/>
    <w:rsid w:val="00970974"/>
    <w:rsid w:val="00970CD6"/>
    <w:rsid w:val="00971F00"/>
    <w:rsid w:val="00971F27"/>
    <w:rsid w:val="0097216E"/>
    <w:rsid w:val="00972202"/>
    <w:rsid w:val="0097271E"/>
    <w:rsid w:val="009729F0"/>
    <w:rsid w:val="00972B12"/>
    <w:rsid w:val="00972C6C"/>
    <w:rsid w:val="0097327A"/>
    <w:rsid w:val="009737E6"/>
    <w:rsid w:val="00973803"/>
    <w:rsid w:val="00973963"/>
    <w:rsid w:val="00973B4D"/>
    <w:rsid w:val="00974322"/>
    <w:rsid w:val="00974DD3"/>
    <w:rsid w:val="00974E3C"/>
    <w:rsid w:val="009753F5"/>
    <w:rsid w:val="00975734"/>
    <w:rsid w:val="00975780"/>
    <w:rsid w:val="00975842"/>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49E"/>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962"/>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B7A"/>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47C"/>
    <w:rsid w:val="00A51EE7"/>
    <w:rsid w:val="00A5204E"/>
    <w:rsid w:val="00A5245E"/>
    <w:rsid w:val="00A524AB"/>
    <w:rsid w:val="00A52AD1"/>
    <w:rsid w:val="00A53365"/>
    <w:rsid w:val="00A5343D"/>
    <w:rsid w:val="00A5373A"/>
    <w:rsid w:val="00A538CC"/>
    <w:rsid w:val="00A538D6"/>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0CE9"/>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5EA4"/>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090"/>
    <w:rsid w:val="00AB45C8"/>
    <w:rsid w:val="00AB45FC"/>
    <w:rsid w:val="00AB465F"/>
    <w:rsid w:val="00AB47FA"/>
    <w:rsid w:val="00AB4C0A"/>
    <w:rsid w:val="00AB4DE8"/>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D8A"/>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6F72"/>
    <w:rsid w:val="00B07148"/>
    <w:rsid w:val="00B07255"/>
    <w:rsid w:val="00B0732D"/>
    <w:rsid w:val="00B07B7E"/>
    <w:rsid w:val="00B07CAB"/>
    <w:rsid w:val="00B10487"/>
    <w:rsid w:val="00B10CD0"/>
    <w:rsid w:val="00B11112"/>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DBA"/>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BE1"/>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5B"/>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336"/>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AF1"/>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93"/>
    <w:rsid w:val="00BE1DC6"/>
    <w:rsid w:val="00BE2928"/>
    <w:rsid w:val="00BE2A0E"/>
    <w:rsid w:val="00BE2D1F"/>
    <w:rsid w:val="00BE2DBA"/>
    <w:rsid w:val="00BE30D5"/>
    <w:rsid w:val="00BE38FE"/>
    <w:rsid w:val="00BE3D06"/>
    <w:rsid w:val="00BE4779"/>
    <w:rsid w:val="00BE4F6A"/>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6D0"/>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47B"/>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023"/>
    <w:rsid w:val="00C4424D"/>
    <w:rsid w:val="00C443A9"/>
    <w:rsid w:val="00C44460"/>
    <w:rsid w:val="00C44B7F"/>
    <w:rsid w:val="00C44E49"/>
    <w:rsid w:val="00C45088"/>
    <w:rsid w:val="00C452D4"/>
    <w:rsid w:val="00C4580C"/>
    <w:rsid w:val="00C46506"/>
    <w:rsid w:val="00C4691E"/>
    <w:rsid w:val="00C46927"/>
    <w:rsid w:val="00C46AA9"/>
    <w:rsid w:val="00C46DB2"/>
    <w:rsid w:val="00C4712A"/>
    <w:rsid w:val="00C475F8"/>
    <w:rsid w:val="00C476A4"/>
    <w:rsid w:val="00C47BF1"/>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923"/>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6D9"/>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0C16"/>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AC6"/>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2B3"/>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3CC"/>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AC1"/>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3A5B"/>
    <w:rsid w:val="00D04298"/>
    <w:rsid w:val="00D04B77"/>
    <w:rsid w:val="00D04BE9"/>
    <w:rsid w:val="00D04C4C"/>
    <w:rsid w:val="00D04DAB"/>
    <w:rsid w:val="00D04DF0"/>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19"/>
    <w:rsid w:val="00D26DC5"/>
    <w:rsid w:val="00D271AF"/>
    <w:rsid w:val="00D273BD"/>
    <w:rsid w:val="00D27854"/>
    <w:rsid w:val="00D3068E"/>
    <w:rsid w:val="00D30AEC"/>
    <w:rsid w:val="00D30F0A"/>
    <w:rsid w:val="00D31A54"/>
    <w:rsid w:val="00D323E7"/>
    <w:rsid w:val="00D326FD"/>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3A7"/>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6A1"/>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536"/>
    <w:rsid w:val="00D84611"/>
    <w:rsid w:val="00D846AB"/>
    <w:rsid w:val="00D84FBD"/>
    <w:rsid w:val="00D8524A"/>
    <w:rsid w:val="00D85ACE"/>
    <w:rsid w:val="00D85C83"/>
    <w:rsid w:val="00D85EB1"/>
    <w:rsid w:val="00D85EED"/>
    <w:rsid w:val="00D8622F"/>
    <w:rsid w:val="00D86426"/>
    <w:rsid w:val="00D8668B"/>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1D"/>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D5B"/>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499"/>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1F9"/>
    <w:rsid w:val="00DE6258"/>
    <w:rsid w:val="00DE629C"/>
    <w:rsid w:val="00DE6B28"/>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617"/>
    <w:rsid w:val="00DF276F"/>
    <w:rsid w:val="00DF2926"/>
    <w:rsid w:val="00DF3103"/>
    <w:rsid w:val="00DF31F5"/>
    <w:rsid w:val="00DF33AF"/>
    <w:rsid w:val="00DF36A2"/>
    <w:rsid w:val="00DF3CA5"/>
    <w:rsid w:val="00DF3F25"/>
    <w:rsid w:val="00DF4282"/>
    <w:rsid w:val="00DF49A8"/>
    <w:rsid w:val="00DF4DA4"/>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7EE"/>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3EB"/>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37D72"/>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2FE5"/>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28"/>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4E80"/>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06B"/>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404"/>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CF2"/>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DDA"/>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417"/>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11"/>
    <w:rsid w:val="00F14F48"/>
    <w:rsid w:val="00F1579C"/>
    <w:rsid w:val="00F15CA7"/>
    <w:rsid w:val="00F15FBA"/>
    <w:rsid w:val="00F1605C"/>
    <w:rsid w:val="00F16071"/>
    <w:rsid w:val="00F160E5"/>
    <w:rsid w:val="00F1673C"/>
    <w:rsid w:val="00F17B06"/>
    <w:rsid w:val="00F17C53"/>
    <w:rsid w:val="00F2006C"/>
    <w:rsid w:val="00F2012E"/>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3CB"/>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702"/>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48"/>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191"/>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717"/>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 w:type="character" w:customStyle="1" w:styleId="titulom">
    <w:name w:val="titulom"/>
    <w:basedOn w:val="Fuentedeprrafopredeter"/>
    <w:rsid w:val="008B5FFD"/>
  </w:style>
  <w:style w:type="character" w:customStyle="1" w:styleId="subtemastitulo">
    <w:name w:val="subtemas_titulo"/>
    <w:basedOn w:val="Fuentedeprrafopredeter"/>
    <w:rsid w:val="008B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67074939">
      <w:bodyDiv w:val="1"/>
      <w:marLeft w:val="0"/>
      <w:marRight w:val="0"/>
      <w:marTop w:val="0"/>
      <w:marBottom w:val="0"/>
      <w:divBdr>
        <w:top w:val="none" w:sz="0" w:space="0" w:color="auto"/>
        <w:left w:val="none" w:sz="0" w:space="0" w:color="auto"/>
        <w:bottom w:val="none" w:sz="0" w:space="0" w:color="auto"/>
        <w:right w:val="none" w:sz="0" w:space="0" w:color="auto"/>
      </w:divBdr>
      <w:divsChild>
        <w:div w:id="1421945290">
          <w:marLeft w:val="0"/>
          <w:marRight w:val="0"/>
          <w:marTop w:val="0"/>
          <w:marBottom w:val="0"/>
          <w:divBdr>
            <w:top w:val="none" w:sz="0" w:space="0" w:color="auto"/>
            <w:left w:val="none" w:sz="0" w:space="0" w:color="auto"/>
            <w:bottom w:val="none" w:sz="0" w:space="0" w:color="auto"/>
            <w:right w:val="none" w:sz="0" w:space="0" w:color="auto"/>
          </w:divBdr>
          <w:divsChild>
            <w:div w:id="1854566727">
              <w:marLeft w:val="0"/>
              <w:marRight w:val="0"/>
              <w:marTop w:val="0"/>
              <w:marBottom w:val="0"/>
              <w:divBdr>
                <w:top w:val="none" w:sz="0" w:space="0" w:color="auto"/>
                <w:left w:val="none" w:sz="0" w:space="0" w:color="auto"/>
                <w:bottom w:val="none" w:sz="0" w:space="0" w:color="auto"/>
                <w:right w:val="none" w:sz="0" w:space="0" w:color="auto"/>
              </w:divBdr>
              <w:divsChild>
                <w:div w:id="1909878718">
                  <w:marLeft w:val="75"/>
                  <w:marRight w:val="797"/>
                  <w:marTop w:val="0"/>
                  <w:marBottom w:val="0"/>
                  <w:divBdr>
                    <w:top w:val="none" w:sz="0" w:space="0" w:color="auto"/>
                    <w:left w:val="none" w:sz="0" w:space="0" w:color="auto"/>
                    <w:bottom w:val="none" w:sz="0" w:space="0" w:color="auto"/>
                    <w:right w:val="none" w:sz="0" w:space="0" w:color="auto"/>
                  </w:divBdr>
                  <w:divsChild>
                    <w:div w:id="1014259146">
                      <w:marLeft w:val="0"/>
                      <w:marRight w:val="0"/>
                      <w:marTop w:val="0"/>
                      <w:marBottom w:val="0"/>
                      <w:divBdr>
                        <w:top w:val="none" w:sz="0" w:space="0" w:color="auto"/>
                        <w:left w:val="none" w:sz="0" w:space="0" w:color="auto"/>
                        <w:bottom w:val="none" w:sz="0" w:space="0" w:color="auto"/>
                        <w:right w:val="none" w:sz="0" w:space="0" w:color="auto"/>
                      </w:divBdr>
                      <w:divsChild>
                        <w:div w:id="2131581653">
                          <w:marLeft w:val="0"/>
                          <w:marRight w:val="0"/>
                          <w:marTop w:val="0"/>
                          <w:marBottom w:val="75"/>
                          <w:divBdr>
                            <w:top w:val="none" w:sz="0" w:space="0" w:color="auto"/>
                            <w:left w:val="none" w:sz="0" w:space="0" w:color="auto"/>
                            <w:bottom w:val="none" w:sz="0" w:space="0" w:color="auto"/>
                            <w:right w:val="none" w:sz="0" w:space="0" w:color="auto"/>
                          </w:divBdr>
                        </w:div>
                        <w:div w:id="1180698869">
                          <w:marLeft w:val="0"/>
                          <w:marRight w:val="0"/>
                          <w:marTop w:val="0"/>
                          <w:marBottom w:val="75"/>
                          <w:divBdr>
                            <w:top w:val="none" w:sz="0" w:space="0" w:color="auto"/>
                            <w:left w:val="none" w:sz="0" w:space="0" w:color="auto"/>
                            <w:bottom w:val="none" w:sz="0" w:space="0" w:color="auto"/>
                            <w:right w:val="none" w:sz="0" w:space="0" w:color="auto"/>
                          </w:divBdr>
                        </w:div>
                        <w:div w:id="815269059">
                          <w:marLeft w:val="0"/>
                          <w:marRight w:val="0"/>
                          <w:marTop w:val="0"/>
                          <w:marBottom w:val="75"/>
                          <w:divBdr>
                            <w:top w:val="none" w:sz="0" w:space="0" w:color="auto"/>
                            <w:left w:val="none" w:sz="0" w:space="0" w:color="auto"/>
                            <w:bottom w:val="none" w:sz="0" w:space="0" w:color="auto"/>
                            <w:right w:val="none" w:sz="0" w:space="0" w:color="auto"/>
                          </w:divBdr>
                        </w:div>
                      </w:divsChild>
                    </w:div>
                    <w:div w:id="2070807403">
                      <w:marLeft w:val="0"/>
                      <w:marRight w:val="0"/>
                      <w:marTop w:val="0"/>
                      <w:marBottom w:val="0"/>
                      <w:divBdr>
                        <w:top w:val="none" w:sz="0" w:space="0" w:color="auto"/>
                        <w:left w:val="none" w:sz="0" w:space="0" w:color="auto"/>
                        <w:bottom w:val="none" w:sz="0" w:space="0" w:color="auto"/>
                        <w:right w:val="none" w:sz="0" w:space="0" w:color="auto"/>
                      </w:divBdr>
                      <w:divsChild>
                        <w:div w:id="791940667">
                          <w:marLeft w:val="0"/>
                          <w:marRight w:val="0"/>
                          <w:marTop w:val="0"/>
                          <w:marBottom w:val="75"/>
                          <w:divBdr>
                            <w:top w:val="none" w:sz="0" w:space="0" w:color="auto"/>
                            <w:left w:val="none" w:sz="0" w:space="0" w:color="auto"/>
                            <w:bottom w:val="none" w:sz="0" w:space="0" w:color="auto"/>
                            <w:right w:val="none" w:sz="0" w:space="0" w:color="auto"/>
                          </w:divBdr>
                        </w:div>
                        <w:div w:id="52237898">
                          <w:marLeft w:val="0"/>
                          <w:marRight w:val="0"/>
                          <w:marTop w:val="0"/>
                          <w:marBottom w:val="75"/>
                          <w:divBdr>
                            <w:top w:val="none" w:sz="0" w:space="0" w:color="auto"/>
                            <w:left w:val="none" w:sz="0" w:space="0" w:color="auto"/>
                            <w:bottom w:val="none" w:sz="0" w:space="0" w:color="auto"/>
                            <w:right w:val="none" w:sz="0" w:space="0" w:color="auto"/>
                          </w:divBdr>
                        </w:div>
                        <w:div w:id="533814108">
                          <w:marLeft w:val="0"/>
                          <w:marRight w:val="0"/>
                          <w:marTop w:val="0"/>
                          <w:marBottom w:val="75"/>
                          <w:divBdr>
                            <w:top w:val="none" w:sz="0" w:space="0" w:color="auto"/>
                            <w:left w:val="none" w:sz="0" w:space="0" w:color="auto"/>
                            <w:bottom w:val="none" w:sz="0" w:space="0" w:color="auto"/>
                            <w:right w:val="none" w:sz="0" w:space="0" w:color="auto"/>
                          </w:divBdr>
                        </w:div>
                      </w:divsChild>
                    </w:div>
                    <w:div w:id="1628506153">
                      <w:marLeft w:val="0"/>
                      <w:marRight w:val="0"/>
                      <w:marTop w:val="0"/>
                      <w:marBottom w:val="0"/>
                      <w:divBdr>
                        <w:top w:val="none" w:sz="0" w:space="0" w:color="auto"/>
                        <w:left w:val="none" w:sz="0" w:space="0" w:color="auto"/>
                        <w:bottom w:val="none" w:sz="0" w:space="0" w:color="auto"/>
                        <w:right w:val="none" w:sz="0" w:space="0" w:color="auto"/>
                      </w:divBdr>
                      <w:divsChild>
                        <w:div w:id="906575830">
                          <w:marLeft w:val="0"/>
                          <w:marRight w:val="0"/>
                          <w:marTop w:val="0"/>
                          <w:marBottom w:val="75"/>
                          <w:divBdr>
                            <w:top w:val="none" w:sz="0" w:space="0" w:color="auto"/>
                            <w:left w:val="none" w:sz="0" w:space="0" w:color="auto"/>
                            <w:bottom w:val="none" w:sz="0" w:space="0" w:color="auto"/>
                            <w:right w:val="none" w:sz="0" w:space="0" w:color="auto"/>
                          </w:divBdr>
                        </w:div>
                        <w:div w:id="448477021">
                          <w:marLeft w:val="0"/>
                          <w:marRight w:val="0"/>
                          <w:marTop w:val="0"/>
                          <w:marBottom w:val="75"/>
                          <w:divBdr>
                            <w:top w:val="none" w:sz="0" w:space="0" w:color="auto"/>
                            <w:left w:val="none" w:sz="0" w:space="0" w:color="auto"/>
                            <w:bottom w:val="none" w:sz="0" w:space="0" w:color="auto"/>
                            <w:right w:val="none" w:sz="0" w:space="0" w:color="auto"/>
                          </w:divBdr>
                        </w:div>
                        <w:div w:id="1884515221">
                          <w:marLeft w:val="0"/>
                          <w:marRight w:val="0"/>
                          <w:marTop w:val="0"/>
                          <w:marBottom w:val="75"/>
                          <w:divBdr>
                            <w:top w:val="none" w:sz="0" w:space="0" w:color="auto"/>
                            <w:left w:val="none" w:sz="0" w:space="0" w:color="auto"/>
                            <w:bottom w:val="none" w:sz="0" w:space="0" w:color="auto"/>
                            <w:right w:val="none" w:sz="0" w:space="0" w:color="auto"/>
                          </w:divBdr>
                        </w:div>
                      </w:divsChild>
                    </w:div>
                    <w:div w:id="1615668059">
                      <w:marLeft w:val="0"/>
                      <w:marRight w:val="0"/>
                      <w:marTop w:val="0"/>
                      <w:marBottom w:val="0"/>
                      <w:divBdr>
                        <w:top w:val="none" w:sz="0" w:space="0" w:color="auto"/>
                        <w:left w:val="none" w:sz="0" w:space="0" w:color="auto"/>
                        <w:bottom w:val="none" w:sz="0" w:space="0" w:color="auto"/>
                        <w:right w:val="none" w:sz="0" w:space="0" w:color="auto"/>
                      </w:divBdr>
                      <w:divsChild>
                        <w:div w:id="225605585">
                          <w:marLeft w:val="0"/>
                          <w:marRight w:val="0"/>
                          <w:marTop w:val="0"/>
                          <w:marBottom w:val="75"/>
                          <w:divBdr>
                            <w:top w:val="none" w:sz="0" w:space="0" w:color="auto"/>
                            <w:left w:val="none" w:sz="0" w:space="0" w:color="auto"/>
                            <w:bottom w:val="none" w:sz="0" w:space="0" w:color="auto"/>
                            <w:right w:val="none" w:sz="0" w:space="0" w:color="auto"/>
                          </w:divBdr>
                        </w:div>
                        <w:div w:id="1149708209">
                          <w:marLeft w:val="0"/>
                          <w:marRight w:val="0"/>
                          <w:marTop w:val="0"/>
                          <w:marBottom w:val="75"/>
                          <w:divBdr>
                            <w:top w:val="none" w:sz="0" w:space="0" w:color="auto"/>
                            <w:left w:val="none" w:sz="0" w:space="0" w:color="auto"/>
                            <w:bottom w:val="none" w:sz="0" w:space="0" w:color="auto"/>
                            <w:right w:val="none" w:sz="0" w:space="0" w:color="auto"/>
                          </w:divBdr>
                        </w:div>
                        <w:div w:id="8667995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23868987">
          <w:marLeft w:val="0"/>
          <w:marRight w:val="0"/>
          <w:marTop w:val="0"/>
          <w:marBottom w:val="0"/>
          <w:divBdr>
            <w:top w:val="none" w:sz="0" w:space="0" w:color="auto"/>
            <w:left w:val="none" w:sz="0" w:space="0" w:color="auto"/>
            <w:bottom w:val="none" w:sz="0" w:space="0" w:color="auto"/>
            <w:right w:val="none" w:sz="0" w:space="0" w:color="auto"/>
          </w:divBdr>
          <w:divsChild>
            <w:div w:id="836723694">
              <w:marLeft w:val="0"/>
              <w:marRight w:val="0"/>
              <w:marTop w:val="0"/>
              <w:marBottom w:val="0"/>
              <w:divBdr>
                <w:top w:val="none" w:sz="0" w:space="0" w:color="auto"/>
                <w:left w:val="none" w:sz="0" w:space="0" w:color="auto"/>
                <w:bottom w:val="none" w:sz="0" w:space="0" w:color="auto"/>
                <w:right w:val="none" w:sz="0" w:space="0" w:color="auto"/>
              </w:divBdr>
            </w:div>
          </w:divsChild>
        </w:div>
        <w:div w:id="1768311953">
          <w:marLeft w:val="0"/>
          <w:marRight w:val="0"/>
          <w:marTop w:val="0"/>
          <w:marBottom w:val="0"/>
          <w:divBdr>
            <w:top w:val="none" w:sz="0" w:space="0" w:color="auto"/>
            <w:left w:val="none" w:sz="0" w:space="0" w:color="auto"/>
            <w:bottom w:val="none" w:sz="0" w:space="0" w:color="auto"/>
            <w:right w:val="none" w:sz="0" w:space="0" w:color="auto"/>
          </w:divBdr>
        </w:div>
        <w:div w:id="221791067">
          <w:marLeft w:val="0"/>
          <w:marRight w:val="0"/>
          <w:marTop w:val="0"/>
          <w:marBottom w:val="0"/>
          <w:divBdr>
            <w:top w:val="none" w:sz="0" w:space="0" w:color="auto"/>
            <w:left w:val="none" w:sz="0" w:space="0" w:color="auto"/>
            <w:bottom w:val="none" w:sz="0" w:space="0" w:color="auto"/>
            <w:right w:val="none" w:sz="0" w:space="0" w:color="auto"/>
          </w:divBdr>
          <w:divsChild>
            <w:div w:id="815612751">
              <w:marLeft w:val="0"/>
              <w:marRight w:val="0"/>
              <w:marTop w:val="0"/>
              <w:marBottom w:val="0"/>
              <w:divBdr>
                <w:top w:val="none" w:sz="0" w:space="0" w:color="auto"/>
                <w:left w:val="none" w:sz="0" w:space="0" w:color="auto"/>
                <w:bottom w:val="none" w:sz="0" w:space="0" w:color="auto"/>
                <w:right w:val="none" w:sz="0" w:space="0" w:color="auto"/>
              </w:divBdr>
              <w:divsChild>
                <w:div w:id="1908110379">
                  <w:marLeft w:val="0"/>
                  <w:marRight w:val="742"/>
                  <w:marTop w:val="0"/>
                  <w:marBottom w:val="0"/>
                  <w:divBdr>
                    <w:top w:val="none" w:sz="0" w:space="0" w:color="auto"/>
                    <w:left w:val="none" w:sz="0" w:space="0" w:color="auto"/>
                    <w:bottom w:val="none" w:sz="0" w:space="0" w:color="auto"/>
                    <w:right w:val="none" w:sz="0" w:space="0" w:color="auto"/>
                  </w:divBdr>
                  <w:divsChild>
                    <w:div w:id="1983807011">
                      <w:marLeft w:val="0"/>
                      <w:marRight w:val="0"/>
                      <w:marTop w:val="0"/>
                      <w:marBottom w:val="0"/>
                      <w:divBdr>
                        <w:top w:val="none" w:sz="0" w:space="0" w:color="auto"/>
                        <w:left w:val="none" w:sz="0" w:space="0" w:color="auto"/>
                        <w:bottom w:val="none" w:sz="0" w:space="0" w:color="auto"/>
                        <w:right w:val="none" w:sz="0" w:space="0" w:color="auto"/>
                      </w:divBdr>
                    </w:div>
                    <w:div w:id="759790811">
                      <w:marLeft w:val="0"/>
                      <w:marRight w:val="0"/>
                      <w:marTop w:val="0"/>
                      <w:marBottom w:val="0"/>
                      <w:divBdr>
                        <w:top w:val="none" w:sz="0" w:space="0" w:color="auto"/>
                        <w:left w:val="none" w:sz="0" w:space="0" w:color="auto"/>
                        <w:bottom w:val="none" w:sz="0" w:space="0" w:color="auto"/>
                        <w:right w:val="none" w:sz="0" w:space="0" w:color="auto"/>
                      </w:divBdr>
                    </w:div>
                    <w:div w:id="20882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518">
              <w:marLeft w:val="0"/>
              <w:marRight w:val="0"/>
              <w:marTop w:val="0"/>
              <w:marBottom w:val="0"/>
              <w:divBdr>
                <w:top w:val="none" w:sz="0" w:space="0" w:color="auto"/>
                <w:left w:val="none" w:sz="0" w:space="0" w:color="auto"/>
                <w:bottom w:val="none" w:sz="0" w:space="0" w:color="auto"/>
                <w:right w:val="none" w:sz="0" w:space="0" w:color="auto"/>
              </w:divBdr>
              <w:divsChild>
                <w:div w:id="10844496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576236">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222818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012734">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3817334">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744136">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4286934">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046528">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2279546">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43776053">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2821166">
      <w:bodyDiv w:val="1"/>
      <w:marLeft w:val="0"/>
      <w:marRight w:val="0"/>
      <w:marTop w:val="0"/>
      <w:marBottom w:val="0"/>
      <w:divBdr>
        <w:top w:val="none" w:sz="0" w:space="0" w:color="auto"/>
        <w:left w:val="none" w:sz="0" w:space="0" w:color="auto"/>
        <w:bottom w:val="none" w:sz="0" w:space="0" w:color="auto"/>
        <w:right w:val="none" w:sz="0" w:space="0" w:color="auto"/>
      </w:divBdr>
      <w:divsChild>
        <w:div w:id="1744722699">
          <w:marLeft w:val="0"/>
          <w:marRight w:val="0"/>
          <w:marTop w:val="0"/>
          <w:marBottom w:val="0"/>
          <w:divBdr>
            <w:top w:val="none" w:sz="0" w:space="0" w:color="auto"/>
            <w:left w:val="none" w:sz="0" w:space="0" w:color="auto"/>
            <w:bottom w:val="none" w:sz="0" w:space="0" w:color="auto"/>
            <w:right w:val="none" w:sz="0" w:space="0" w:color="auto"/>
          </w:divBdr>
        </w:div>
      </w:divsChild>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8472668">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7679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C0B91-CE1E-4B2A-B5D6-3171F66FA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594</Words>
  <Characters>3269</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24</cp:revision>
  <cp:lastPrinted>2020-03-12T17:46:00Z</cp:lastPrinted>
  <dcterms:created xsi:type="dcterms:W3CDTF">2020-09-02T21:34:00Z</dcterms:created>
  <dcterms:modified xsi:type="dcterms:W3CDTF">2020-09-04T23:17:00Z</dcterms:modified>
</cp:coreProperties>
</file>