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7A1B6E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7A1B6E">
        <w:t xml:space="preserve">                                                                    </w:t>
      </w:r>
      <w:r w:rsidR="003B4CFD" w:rsidRPr="007A1B6E">
        <w:t xml:space="preserve">   </w:t>
      </w:r>
      <w:r w:rsidR="00F82B92" w:rsidRPr="007A1B6E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7A1B6E">
        <w:rPr>
          <w:rFonts w:ascii="Arial" w:hAnsi="Arial" w:cs="Arial"/>
          <w:b/>
          <w:sz w:val="24"/>
          <w:szCs w:val="24"/>
        </w:rPr>
        <w:t>0</w:t>
      </w:r>
      <w:r w:rsidR="007A1B6E" w:rsidRPr="007A1B6E">
        <w:rPr>
          <w:rFonts w:ascii="Arial" w:hAnsi="Arial" w:cs="Arial"/>
          <w:b/>
          <w:sz w:val="24"/>
          <w:szCs w:val="24"/>
        </w:rPr>
        <w:t>4</w:t>
      </w:r>
      <w:r w:rsidR="00E73BB1">
        <w:rPr>
          <w:rFonts w:ascii="Arial" w:hAnsi="Arial" w:cs="Arial"/>
          <w:b/>
          <w:sz w:val="24"/>
          <w:szCs w:val="24"/>
        </w:rPr>
        <w:t>2</w:t>
      </w:r>
      <w:r w:rsidR="0049457C" w:rsidRPr="007A1B6E">
        <w:rPr>
          <w:rFonts w:ascii="Arial" w:hAnsi="Arial" w:cs="Arial"/>
          <w:b/>
          <w:sz w:val="24"/>
          <w:szCs w:val="24"/>
        </w:rPr>
        <w:t>/2020-</w:t>
      </w:r>
      <w:r w:rsidR="00092657" w:rsidRPr="007A1B6E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E73BB1" w:rsidRPr="002746C3" w:rsidRDefault="00E73BB1" w:rsidP="00E73BB1">
      <w:pPr>
        <w:jc w:val="both"/>
        <w:rPr>
          <w:rFonts w:ascii="Arial" w:hAnsi="Arial" w:cs="Arial"/>
          <w:b/>
          <w:sz w:val="16"/>
          <w:szCs w:val="16"/>
        </w:rPr>
      </w:pPr>
    </w:p>
    <w:p w:rsidR="00E73BB1" w:rsidRPr="008D6095" w:rsidRDefault="00E73BB1" w:rsidP="008D6095">
      <w:pPr>
        <w:ind w:left="-142"/>
        <w:jc w:val="center"/>
        <w:rPr>
          <w:rFonts w:ascii="Arial" w:hAnsi="Arial" w:cs="Arial"/>
          <w:b/>
          <w:bCs/>
          <w:color w:val="000000" w:themeColor="text1"/>
          <w:spacing w:val="-6"/>
          <w:sz w:val="36"/>
          <w:szCs w:val="24"/>
          <w:lang w:val="es-ES"/>
        </w:rPr>
      </w:pPr>
      <w:r w:rsidRPr="008D6095">
        <w:rPr>
          <w:rFonts w:ascii="Arial" w:hAnsi="Arial" w:cs="Arial"/>
          <w:b/>
          <w:bCs/>
          <w:color w:val="000000" w:themeColor="text1"/>
          <w:spacing w:val="-6"/>
          <w:sz w:val="36"/>
          <w:szCs w:val="24"/>
          <w:lang w:val="es-ES"/>
        </w:rPr>
        <w:t>Obtiene UABC dos nuevos registros de patente</w:t>
      </w:r>
    </w:p>
    <w:p w:rsidR="00E73BB1" w:rsidRPr="008D6095" w:rsidRDefault="00E73BB1" w:rsidP="002576FC">
      <w:pPr>
        <w:tabs>
          <w:tab w:val="left" w:pos="0"/>
        </w:tabs>
        <w:ind w:right="-426"/>
        <w:jc w:val="both"/>
        <w:rPr>
          <w:rFonts w:ascii="Arial" w:hAnsi="Arial" w:cs="Arial"/>
          <w:b/>
          <w:sz w:val="16"/>
          <w:szCs w:val="16"/>
        </w:rPr>
      </w:pPr>
    </w:p>
    <w:p w:rsidR="00E73BB1" w:rsidRPr="002576FC" w:rsidRDefault="00E73BB1" w:rsidP="002576FC">
      <w:pPr>
        <w:pStyle w:val="Prrafodelista"/>
        <w:numPr>
          <w:ilvl w:val="0"/>
          <w:numId w:val="33"/>
        </w:numPr>
        <w:tabs>
          <w:tab w:val="left" w:pos="0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2576FC">
        <w:rPr>
          <w:rFonts w:ascii="Arial" w:hAnsi="Arial" w:cs="Arial"/>
          <w:sz w:val="24"/>
          <w:szCs w:val="24"/>
        </w:rPr>
        <w:t>Esta casa de estudios cuenta con 1</w:t>
      </w:r>
      <w:r w:rsidR="008D6095">
        <w:rPr>
          <w:rFonts w:ascii="Arial" w:hAnsi="Arial" w:cs="Arial"/>
          <w:sz w:val="24"/>
          <w:szCs w:val="24"/>
        </w:rPr>
        <w:t>5</w:t>
      </w:r>
      <w:r w:rsidRPr="002576FC">
        <w:rPr>
          <w:rFonts w:ascii="Arial" w:hAnsi="Arial" w:cs="Arial"/>
          <w:sz w:val="24"/>
          <w:szCs w:val="24"/>
        </w:rPr>
        <w:t xml:space="preserve"> invenciones otorgadas por el IMPI.</w:t>
      </w:r>
    </w:p>
    <w:p w:rsidR="00E73BB1" w:rsidRPr="00EE649A" w:rsidRDefault="00E73BB1" w:rsidP="002576FC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1E570A" w:rsidRDefault="00E73BB1" w:rsidP="001E570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2576FC">
        <w:rPr>
          <w:rFonts w:ascii="Arial" w:hAnsi="Arial" w:cs="Arial"/>
          <w:b/>
          <w:sz w:val="24"/>
          <w:szCs w:val="24"/>
          <w:lang w:val="es-ES"/>
        </w:rPr>
        <w:t xml:space="preserve">Mexicali, B.C., </w:t>
      </w:r>
      <w:r w:rsidR="0054091D">
        <w:rPr>
          <w:rFonts w:ascii="Arial" w:hAnsi="Arial" w:cs="Arial"/>
          <w:b/>
          <w:sz w:val="24"/>
          <w:szCs w:val="24"/>
          <w:lang w:val="es-ES"/>
        </w:rPr>
        <w:t>viernes 11</w:t>
      </w:r>
      <w:r w:rsidR="008D6095">
        <w:rPr>
          <w:rFonts w:ascii="Arial" w:hAnsi="Arial" w:cs="Arial"/>
          <w:b/>
          <w:sz w:val="24"/>
          <w:szCs w:val="24"/>
          <w:lang w:val="es-ES"/>
        </w:rPr>
        <w:t xml:space="preserve"> de septiembre</w:t>
      </w:r>
      <w:r w:rsidRPr="002576FC">
        <w:rPr>
          <w:rFonts w:ascii="Arial" w:hAnsi="Arial" w:cs="Arial"/>
          <w:b/>
          <w:sz w:val="24"/>
          <w:szCs w:val="24"/>
          <w:lang w:val="es-ES"/>
        </w:rPr>
        <w:t xml:space="preserve"> de 2020</w:t>
      </w:r>
      <w:r w:rsidRPr="002576FC">
        <w:rPr>
          <w:rFonts w:ascii="Arial" w:hAnsi="Arial" w:cs="Arial"/>
          <w:sz w:val="24"/>
          <w:szCs w:val="24"/>
          <w:lang w:val="es-ES"/>
        </w:rPr>
        <w:t xml:space="preserve">.- </w:t>
      </w:r>
      <w:r w:rsidR="001E570A">
        <w:rPr>
          <w:rFonts w:ascii="Arial" w:hAnsi="Arial" w:cs="Arial"/>
          <w:sz w:val="24"/>
          <w:szCs w:val="24"/>
          <w:lang w:val="es-ES"/>
        </w:rPr>
        <w:t xml:space="preserve">La Universidad Autónoma de Baja California (UABC) recibió </w:t>
      </w:r>
      <w:r w:rsidR="006C570B">
        <w:rPr>
          <w:rFonts w:ascii="Arial" w:hAnsi="Arial" w:cs="Arial"/>
          <w:sz w:val="24"/>
          <w:szCs w:val="24"/>
          <w:lang w:val="es-ES"/>
        </w:rPr>
        <w:t>d</w:t>
      </w:r>
      <w:r w:rsidR="006C570B">
        <w:rPr>
          <w:rFonts w:ascii="Arial" w:hAnsi="Arial" w:cs="Arial"/>
          <w:sz w:val="24"/>
          <w:szCs w:val="24"/>
        </w:rPr>
        <w:t xml:space="preserve">el Instituto Mexicano de Propiedad Industrial (IMPI), </w:t>
      </w:r>
      <w:r w:rsidR="001E570A">
        <w:rPr>
          <w:rFonts w:ascii="Arial" w:hAnsi="Arial" w:cs="Arial"/>
          <w:sz w:val="24"/>
          <w:szCs w:val="24"/>
          <w:lang w:val="es-ES"/>
        </w:rPr>
        <w:t xml:space="preserve">las patentes de dos nuevas </w:t>
      </w:r>
      <w:r w:rsidR="001E570A">
        <w:rPr>
          <w:rFonts w:ascii="Arial" w:hAnsi="Arial" w:cs="Arial"/>
          <w:sz w:val="24"/>
          <w:lang w:val="es-ES"/>
        </w:rPr>
        <w:t>producciones científicas desarrolladas por investigadores del Instituto de Ciencias Agrícolas y del Instituto de Ingeniería, ambos del Campus Mexicali</w:t>
      </w:r>
      <w:r w:rsidR="006C570B">
        <w:rPr>
          <w:rFonts w:ascii="Arial" w:hAnsi="Arial" w:cs="Arial"/>
          <w:sz w:val="24"/>
          <w:lang w:val="es-ES"/>
        </w:rPr>
        <w:t>.</w:t>
      </w:r>
      <w:r w:rsidR="001E570A">
        <w:rPr>
          <w:rFonts w:ascii="Arial" w:hAnsi="Arial" w:cs="Arial"/>
          <w:sz w:val="24"/>
          <w:szCs w:val="24"/>
        </w:rPr>
        <w:t xml:space="preserve"> </w:t>
      </w:r>
    </w:p>
    <w:p w:rsidR="001E570A" w:rsidRPr="006C570B" w:rsidRDefault="001E570A" w:rsidP="001E570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:rsidR="006C570B" w:rsidRDefault="006C570B" w:rsidP="006C570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91DAF">
        <w:rPr>
          <w:rFonts w:ascii="Arial" w:hAnsi="Arial" w:cs="Arial"/>
          <w:sz w:val="24"/>
          <w:szCs w:val="24"/>
        </w:rPr>
        <w:t xml:space="preserve">Así lo anunció la jefa del Departamento de Propiedad Intelectual y Transferencia, licenciada Aide Ginera Aparicio, quien agregó que </w:t>
      </w:r>
      <w:r>
        <w:rPr>
          <w:rFonts w:ascii="Arial" w:hAnsi="Arial" w:cs="Arial"/>
          <w:color w:val="222222"/>
          <w:sz w:val="24"/>
          <w:szCs w:val="24"/>
        </w:rPr>
        <w:t>e</w:t>
      </w:r>
      <w:r w:rsidRPr="002576FC">
        <w:rPr>
          <w:rFonts w:ascii="Arial" w:hAnsi="Arial" w:cs="Arial"/>
          <w:color w:val="222222"/>
          <w:sz w:val="24"/>
          <w:szCs w:val="24"/>
        </w:rPr>
        <w:t xml:space="preserve">stas invenciones contribuyen a enaltecer el desarrollo científico y tecnológico que se origina en </w:t>
      </w:r>
      <w:r>
        <w:rPr>
          <w:rFonts w:ascii="Arial" w:hAnsi="Arial" w:cs="Arial"/>
          <w:color w:val="222222"/>
          <w:sz w:val="24"/>
          <w:szCs w:val="24"/>
        </w:rPr>
        <w:t xml:space="preserve">la UABC. Expuso que con estas dos nuevas patentes </w:t>
      </w:r>
      <w:r w:rsidRPr="002576FC">
        <w:rPr>
          <w:rFonts w:ascii="Arial" w:hAnsi="Arial" w:cs="Arial"/>
          <w:color w:val="222222"/>
          <w:sz w:val="24"/>
          <w:szCs w:val="24"/>
        </w:rPr>
        <w:t>se suman un total de 15 invenciones otorgadas</w:t>
      </w:r>
      <w:r>
        <w:rPr>
          <w:rFonts w:ascii="Arial" w:hAnsi="Arial" w:cs="Arial"/>
          <w:color w:val="222222"/>
          <w:sz w:val="24"/>
          <w:szCs w:val="24"/>
        </w:rPr>
        <w:t xml:space="preserve"> a la máxima casa de estudios</w:t>
      </w:r>
      <w:r w:rsidRPr="002576FC">
        <w:rPr>
          <w:rFonts w:ascii="Arial" w:hAnsi="Arial" w:cs="Arial"/>
          <w:color w:val="222222"/>
          <w:sz w:val="24"/>
          <w:szCs w:val="24"/>
        </w:rPr>
        <w:t>, cinco de estas, notificadas en lo que va del año 2020.</w:t>
      </w:r>
    </w:p>
    <w:p w:rsidR="002576FC" w:rsidRPr="002576FC" w:rsidRDefault="002576FC" w:rsidP="001E570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081A87" w:rsidRDefault="006C570B" w:rsidP="00D8521D">
      <w:pPr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Una de las patentes es del 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>área biotecnológica</w:t>
      </w:r>
      <w:r w:rsidR="00D8521D">
        <w:rPr>
          <w:rFonts w:ascii="Arial" w:hAnsi="Arial" w:cs="Arial"/>
          <w:color w:val="222222"/>
          <w:sz w:val="24"/>
          <w:szCs w:val="24"/>
        </w:rPr>
        <w:t>, s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 xml:space="preserve">e refiere a una cepa </w:t>
      </w:r>
      <w:r w:rsidR="00D8521D" w:rsidRPr="002576FC">
        <w:rPr>
          <w:rFonts w:ascii="Arial" w:hAnsi="Arial" w:cs="Arial"/>
          <w:color w:val="000000"/>
          <w:sz w:val="24"/>
          <w:szCs w:val="24"/>
        </w:rPr>
        <w:t>de trichoderma longibrachiatum thica-4</w:t>
      </w:r>
      <w:r w:rsidR="007D4405">
        <w:rPr>
          <w:rFonts w:ascii="Arial" w:hAnsi="Arial" w:cs="Arial"/>
          <w:color w:val="000000"/>
          <w:sz w:val="24"/>
          <w:szCs w:val="24"/>
        </w:rPr>
        <w:t xml:space="preserve">, que es un 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>microorganismo con propiedades</w:t>
      </w:r>
      <w:r w:rsidR="00D8521D">
        <w:rPr>
          <w:rFonts w:ascii="Arial" w:hAnsi="Arial" w:cs="Arial"/>
          <w:color w:val="222222"/>
          <w:sz w:val="24"/>
          <w:szCs w:val="24"/>
        </w:rPr>
        <w:t> fungicidas</w:t>
      </w:r>
      <w:r w:rsidR="007A1FF5">
        <w:rPr>
          <w:rFonts w:ascii="Arial" w:hAnsi="Arial" w:cs="Arial"/>
          <w:color w:val="222222"/>
          <w:sz w:val="24"/>
          <w:szCs w:val="24"/>
        </w:rPr>
        <w:t xml:space="preserve"> (que destruye los hongos)</w:t>
      </w:r>
      <w:r w:rsidR="007D4405">
        <w:rPr>
          <w:rFonts w:ascii="Arial" w:hAnsi="Arial" w:cs="Arial"/>
          <w:color w:val="222222"/>
          <w:sz w:val="24"/>
          <w:szCs w:val="24"/>
        </w:rPr>
        <w:t>,</w:t>
      </w:r>
      <w:r w:rsidR="00D8521D">
        <w:rPr>
          <w:rFonts w:ascii="Arial" w:hAnsi="Arial" w:cs="Arial"/>
          <w:color w:val="222222"/>
          <w:sz w:val="24"/>
          <w:szCs w:val="24"/>
        </w:rPr>
        <w:t xml:space="preserve"> 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 xml:space="preserve">que produce sustancias promotoras de crecimiento vegetal al ser inoculado </w:t>
      </w:r>
      <w:r w:rsidR="00D8521D">
        <w:rPr>
          <w:rFonts w:ascii="Arial" w:hAnsi="Arial" w:cs="Arial"/>
          <w:color w:val="222222"/>
          <w:sz w:val="24"/>
          <w:szCs w:val="24"/>
        </w:rPr>
        <w:t xml:space="preserve">o introducido 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>en plantas de interés hortícola</w:t>
      </w:r>
      <w:r w:rsidR="00D8521D">
        <w:rPr>
          <w:rFonts w:ascii="Arial" w:hAnsi="Arial" w:cs="Arial"/>
          <w:color w:val="222222"/>
          <w:sz w:val="24"/>
          <w:szCs w:val="24"/>
        </w:rPr>
        <w:t>,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 xml:space="preserve"> principalmente alg</w:t>
      </w:r>
      <w:r w:rsidR="00D8521D">
        <w:rPr>
          <w:rFonts w:ascii="Arial" w:hAnsi="Arial" w:cs="Arial"/>
          <w:color w:val="222222"/>
          <w:sz w:val="24"/>
          <w:szCs w:val="24"/>
        </w:rPr>
        <w:t>odón transgénico o convencional,</w:t>
      </w:r>
      <w:r w:rsidR="007A1FF5">
        <w:rPr>
          <w:rFonts w:ascii="Arial" w:hAnsi="Arial" w:cs="Arial"/>
          <w:color w:val="222222"/>
          <w:sz w:val="24"/>
          <w:szCs w:val="24"/>
        </w:rPr>
        <w:t xml:space="preserve"> así como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 xml:space="preserve"> pepino. </w:t>
      </w:r>
    </w:p>
    <w:p w:rsidR="00081A87" w:rsidRPr="00081A87" w:rsidRDefault="00081A87" w:rsidP="00D8521D">
      <w:pPr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2576FC" w:rsidRDefault="002576FC" w:rsidP="001E570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2576FC">
        <w:rPr>
          <w:rFonts w:ascii="Arial" w:hAnsi="Arial" w:cs="Arial"/>
          <w:color w:val="222222"/>
          <w:sz w:val="24"/>
          <w:szCs w:val="24"/>
        </w:rPr>
        <w:t>Este organismo se encuentra adaptado a las condiciones ambientales del valle de Mexicali, d</w:t>
      </w:r>
      <w:r w:rsidR="00081A87">
        <w:rPr>
          <w:rFonts w:ascii="Arial" w:hAnsi="Arial" w:cs="Arial"/>
          <w:color w:val="222222"/>
          <w:sz w:val="24"/>
          <w:szCs w:val="24"/>
        </w:rPr>
        <w:t xml:space="preserve">onde fue aislado e identificado. </w:t>
      </w:r>
      <w:r w:rsidR="00D8521D">
        <w:rPr>
          <w:rFonts w:ascii="Arial" w:hAnsi="Arial" w:cs="Arial"/>
          <w:color w:val="222222"/>
          <w:sz w:val="24"/>
          <w:szCs w:val="24"/>
        </w:rPr>
        <w:t xml:space="preserve">Los investigadores creadores de esta patente son los doctores </w:t>
      </w:r>
      <w:r w:rsidRPr="002576FC">
        <w:rPr>
          <w:rFonts w:ascii="Arial" w:hAnsi="Arial" w:cs="Arial"/>
          <w:color w:val="000000"/>
          <w:sz w:val="24"/>
          <w:szCs w:val="24"/>
        </w:rPr>
        <w:t>Daniel González Mendoza; Juan Carlos Vázquez Angulo; Vianey Méndez Trujillo; Onécimo Grimaldo Juárez</w:t>
      </w:r>
      <w:r w:rsidR="00081A87">
        <w:rPr>
          <w:rFonts w:ascii="Arial" w:hAnsi="Arial" w:cs="Arial"/>
          <w:color w:val="000000"/>
          <w:sz w:val="24"/>
          <w:szCs w:val="24"/>
        </w:rPr>
        <w:t xml:space="preserve">. La patente pertenece al </w:t>
      </w:r>
      <w:r w:rsidRPr="002576FC">
        <w:rPr>
          <w:rFonts w:ascii="Arial" w:hAnsi="Arial" w:cs="Arial"/>
          <w:color w:val="000000"/>
          <w:sz w:val="24"/>
          <w:szCs w:val="24"/>
        </w:rPr>
        <w:t>Instituto de Ciencias Agrícolas</w:t>
      </w:r>
      <w:r w:rsidR="00081A87">
        <w:rPr>
          <w:rFonts w:ascii="Arial" w:hAnsi="Arial" w:cs="Arial"/>
          <w:color w:val="000000"/>
          <w:sz w:val="24"/>
          <w:szCs w:val="24"/>
        </w:rPr>
        <w:t>, ubicado en el ejido Nuevo León.</w:t>
      </w:r>
    </w:p>
    <w:p w:rsidR="0051440D" w:rsidRPr="00D06672" w:rsidRDefault="0051440D" w:rsidP="001E570A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B34FE3" w:rsidRDefault="0051440D" w:rsidP="0051440D">
      <w:pPr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otro título otorgado es del área eléctrica, se trata de </w:t>
      </w:r>
      <w:r w:rsidR="002576FC" w:rsidRPr="002576FC">
        <w:rPr>
          <w:rFonts w:ascii="Arial" w:hAnsi="Arial" w:cs="Arial"/>
          <w:color w:val="222222"/>
          <w:sz w:val="24"/>
          <w:szCs w:val="24"/>
        </w:rPr>
        <w:t>un sensor para determinar la posición del Sol, que sirve como referencia para el posicionamiento de sistemas de seguimiento solar, orientación y enfoque de colectores solares en aplicaciones térmicas y eléctricas</w:t>
      </w:r>
      <w:r w:rsidR="00B34FE3">
        <w:rPr>
          <w:rFonts w:ascii="Arial" w:hAnsi="Arial" w:cs="Arial"/>
          <w:color w:val="222222"/>
          <w:sz w:val="24"/>
          <w:szCs w:val="24"/>
        </w:rPr>
        <w:t>, utilizadas principalmente en sistemas domésticos de calefacción y para producir energía eléctrica.</w:t>
      </w:r>
    </w:p>
    <w:p w:rsidR="00B34FE3" w:rsidRDefault="00B34FE3" w:rsidP="0051440D">
      <w:pPr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2576FC" w:rsidRDefault="002576FC" w:rsidP="001E570A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2576FC">
        <w:rPr>
          <w:rFonts w:ascii="Arial" w:hAnsi="Arial" w:cs="Arial"/>
          <w:color w:val="222222"/>
          <w:sz w:val="24"/>
          <w:szCs w:val="24"/>
        </w:rPr>
        <w:t>La invención</w:t>
      </w:r>
      <w:r w:rsidR="00EE649A">
        <w:rPr>
          <w:rFonts w:ascii="Arial" w:hAnsi="Arial" w:cs="Arial"/>
          <w:color w:val="222222"/>
          <w:sz w:val="24"/>
          <w:szCs w:val="24"/>
        </w:rPr>
        <w:t xml:space="preserve">, cuyo título pertenece al Instituto de Ingeniería, </w:t>
      </w:r>
      <w:r w:rsidRPr="002576FC">
        <w:rPr>
          <w:rFonts w:ascii="Arial" w:hAnsi="Arial" w:cs="Arial"/>
          <w:color w:val="222222"/>
          <w:sz w:val="24"/>
          <w:szCs w:val="24"/>
        </w:rPr>
        <w:t>se prueba en sistemas de seguimiento solar para colectores solares, no siendo limitativ</w:t>
      </w:r>
      <w:r w:rsidR="007D4405">
        <w:rPr>
          <w:rFonts w:ascii="Arial" w:hAnsi="Arial" w:cs="Arial"/>
          <w:color w:val="222222"/>
          <w:sz w:val="24"/>
          <w:szCs w:val="24"/>
        </w:rPr>
        <w:t>a su aplicación</w:t>
      </w:r>
      <w:r w:rsidRPr="002576FC">
        <w:rPr>
          <w:rFonts w:ascii="Arial" w:hAnsi="Arial" w:cs="Arial"/>
          <w:color w:val="222222"/>
          <w:sz w:val="24"/>
          <w:szCs w:val="24"/>
        </w:rPr>
        <w:t>.</w:t>
      </w:r>
      <w:r w:rsidR="00EE649A">
        <w:rPr>
          <w:rFonts w:ascii="Arial" w:hAnsi="Arial" w:cs="Arial"/>
          <w:color w:val="222222"/>
          <w:sz w:val="24"/>
          <w:szCs w:val="24"/>
        </w:rPr>
        <w:t xml:space="preserve"> Los creadores son los doctores </w:t>
      </w:r>
      <w:r w:rsidRPr="002576FC">
        <w:rPr>
          <w:rFonts w:ascii="Arial" w:hAnsi="Arial" w:cs="Arial"/>
          <w:color w:val="000000"/>
          <w:sz w:val="24"/>
          <w:szCs w:val="24"/>
        </w:rPr>
        <w:t>Ni</w:t>
      </w:r>
      <w:r w:rsidR="00EE649A">
        <w:rPr>
          <w:rFonts w:ascii="Arial" w:hAnsi="Arial" w:cs="Arial"/>
          <w:color w:val="000000"/>
          <w:sz w:val="24"/>
          <w:szCs w:val="24"/>
        </w:rPr>
        <w:t>colás Velázquez Limón, Adolfo Heriberto Ruelas Puente</w:t>
      </w:r>
      <w:r w:rsidRPr="002576FC">
        <w:rPr>
          <w:rFonts w:ascii="Arial" w:hAnsi="Arial" w:cs="Arial"/>
          <w:color w:val="000000"/>
          <w:sz w:val="24"/>
          <w:szCs w:val="24"/>
        </w:rPr>
        <w:t>, Carlos Villa Angulo y Gabriel E</w:t>
      </w:r>
      <w:r w:rsidR="00EE649A">
        <w:rPr>
          <w:rFonts w:ascii="Arial" w:hAnsi="Arial" w:cs="Arial"/>
          <w:color w:val="000000"/>
          <w:sz w:val="24"/>
          <w:szCs w:val="24"/>
        </w:rPr>
        <w:t>rnesto</w:t>
      </w:r>
      <w:r w:rsidRPr="002576FC">
        <w:rPr>
          <w:rFonts w:ascii="Arial" w:hAnsi="Arial" w:cs="Arial"/>
          <w:color w:val="000000"/>
          <w:sz w:val="24"/>
          <w:szCs w:val="24"/>
        </w:rPr>
        <w:t xml:space="preserve"> Pando Martínez</w:t>
      </w:r>
      <w:r w:rsidR="00EE649A">
        <w:rPr>
          <w:rFonts w:ascii="Arial" w:hAnsi="Arial" w:cs="Arial"/>
          <w:color w:val="000000"/>
          <w:sz w:val="24"/>
          <w:szCs w:val="24"/>
        </w:rPr>
        <w:t>.</w:t>
      </w:r>
    </w:p>
    <w:p w:rsidR="005D61F6" w:rsidRPr="005D61F6" w:rsidRDefault="005D61F6" w:rsidP="001E570A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9940AA" w:rsidRPr="009940AA" w:rsidRDefault="005D61F6" w:rsidP="009940AA">
      <w:pPr>
        <w:autoSpaceDN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UABC tiene </w:t>
      </w:r>
      <w:r w:rsidR="00E73BB1" w:rsidRPr="009940AA">
        <w:rPr>
          <w:rFonts w:ascii="Arial" w:hAnsi="Arial" w:cs="Arial"/>
          <w:sz w:val="24"/>
        </w:rPr>
        <w:t>entre sus fines, fomentar y llevar a cabo investigaciones científicas</w:t>
      </w:r>
      <w:r w:rsidRPr="009940AA">
        <w:rPr>
          <w:rFonts w:ascii="Arial" w:hAnsi="Arial" w:cs="Arial"/>
          <w:sz w:val="24"/>
        </w:rPr>
        <w:t>, principalmente aquellos que resuelvan</w:t>
      </w:r>
      <w:r w:rsidR="00E73BB1" w:rsidRPr="009940AA">
        <w:rPr>
          <w:rFonts w:ascii="Arial" w:hAnsi="Arial" w:cs="Arial"/>
          <w:sz w:val="24"/>
        </w:rPr>
        <w:t xml:space="preserve"> problemas estatales y nacionales</w:t>
      </w:r>
      <w:r w:rsidR="009940AA" w:rsidRPr="009940AA">
        <w:rPr>
          <w:rFonts w:ascii="Arial" w:hAnsi="Arial" w:cs="Arial"/>
          <w:sz w:val="24"/>
        </w:rPr>
        <w:t xml:space="preserve">. Algunas de ellas </w:t>
      </w:r>
      <w:r w:rsidR="00E73BB1" w:rsidRPr="009940AA">
        <w:rPr>
          <w:rFonts w:ascii="Arial" w:hAnsi="Arial" w:cs="Arial"/>
          <w:sz w:val="24"/>
        </w:rPr>
        <w:t>se materializan en invenciones y creaciones generadas por estudiantes, académicos, investigadores y personal administrativo</w:t>
      </w:r>
      <w:r w:rsidR="009940AA" w:rsidRPr="009940AA">
        <w:rPr>
          <w:rFonts w:ascii="Arial" w:hAnsi="Arial" w:cs="Arial"/>
          <w:sz w:val="24"/>
        </w:rPr>
        <w:t>.</w:t>
      </w:r>
      <w:r w:rsidR="009940AA">
        <w:rPr>
          <w:rFonts w:ascii="Arial" w:hAnsi="Arial" w:cs="Arial"/>
          <w:sz w:val="24"/>
        </w:rPr>
        <w:t xml:space="preserve"> Las patentes son un </w:t>
      </w:r>
      <w:r w:rsidR="009940AA" w:rsidRPr="009940AA">
        <w:rPr>
          <w:rFonts w:ascii="Arial" w:hAnsi="Arial" w:cs="Arial"/>
          <w:sz w:val="24"/>
        </w:rPr>
        <w:t>derecho exclusivo que se concede sobre un producto o un proceso que, por lo general, ofrece una nueva manera de hacer algo o una nueva solución técnica a un problema.</w:t>
      </w:r>
    </w:p>
    <w:p w:rsidR="00254625" w:rsidRDefault="00254625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0000"/>
          <w:spacing w:val="-4"/>
          <w:sz w:val="14"/>
          <w:szCs w:val="12"/>
          <w:lang w:val="es-MX"/>
        </w:rPr>
      </w:pPr>
    </w:p>
    <w:p w:rsidR="00F7616A" w:rsidRDefault="00F7616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0000"/>
          <w:spacing w:val="-4"/>
          <w:sz w:val="14"/>
          <w:szCs w:val="12"/>
          <w:lang w:val="es-MX"/>
        </w:rPr>
      </w:pPr>
    </w:p>
    <w:p w:rsidR="00F7616A" w:rsidRDefault="00F7616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0000"/>
          <w:spacing w:val="-4"/>
          <w:sz w:val="14"/>
          <w:szCs w:val="12"/>
          <w:lang w:val="es-MX"/>
        </w:rPr>
      </w:pPr>
    </w:p>
    <w:p w:rsidR="00F7616A" w:rsidRPr="00F7616A" w:rsidRDefault="00F7616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14"/>
          <w:szCs w:val="12"/>
          <w:lang w:val="es-MX"/>
        </w:rPr>
      </w:pPr>
      <w:bookmarkStart w:id="1" w:name="_GoBack"/>
    </w:p>
    <w:p w:rsidR="004517FA" w:rsidRPr="00F7616A" w:rsidRDefault="004517FA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14"/>
          <w:szCs w:val="12"/>
          <w:lang w:val="es-MX"/>
        </w:rPr>
      </w:pPr>
      <w:r w:rsidRPr="00F7616A">
        <w:rPr>
          <w:rFonts w:ascii="Arial" w:hAnsi="Arial" w:cs="Arial"/>
          <w:b/>
          <w:bCs/>
          <w:color w:val="FFFFFF" w:themeColor="background1"/>
          <w:spacing w:val="-4"/>
          <w:sz w:val="14"/>
          <w:szCs w:val="12"/>
          <w:lang w:val="es-MX"/>
        </w:rPr>
        <w:t xml:space="preserve">Redacción: </w:t>
      </w:r>
      <w:r w:rsidR="00776173" w:rsidRPr="00F7616A">
        <w:rPr>
          <w:rFonts w:ascii="Arial" w:hAnsi="Arial" w:cs="Arial"/>
          <w:b/>
          <w:bCs/>
          <w:color w:val="FFFFFF" w:themeColor="background1"/>
          <w:spacing w:val="-4"/>
          <w:sz w:val="14"/>
          <w:szCs w:val="12"/>
          <w:lang w:val="es-MX"/>
        </w:rPr>
        <w:t>Norma Angélica Gómez Bravo</w:t>
      </w:r>
    </w:p>
    <w:p w:rsidR="00776173" w:rsidRPr="00F7616A" w:rsidRDefault="00776173" w:rsidP="004517FA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b/>
          <w:bCs/>
          <w:color w:val="FFFFFF" w:themeColor="background1"/>
          <w:spacing w:val="-4"/>
          <w:sz w:val="14"/>
          <w:szCs w:val="12"/>
          <w:lang w:val="es-MX"/>
        </w:rPr>
      </w:pPr>
      <w:r w:rsidRPr="00F7616A">
        <w:rPr>
          <w:rFonts w:ascii="Arial" w:hAnsi="Arial" w:cs="Arial"/>
          <w:b/>
          <w:bCs/>
          <w:color w:val="FFFFFF" w:themeColor="background1"/>
          <w:spacing w:val="-4"/>
          <w:sz w:val="14"/>
          <w:szCs w:val="12"/>
          <w:lang w:val="es-MX"/>
        </w:rPr>
        <w:t>Foto: Banco de imágenes</w:t>
      </w:r>
      <w:bookmarkEnd w:id="1"/>
    </w:p>
    <w:sectPr w:rsidR="00776173" w:rsidRPr="00F7616A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96" w:rsidRDefault="00004596">
      <w:r>
        <w:separator/>
      </w:r>
    </w:p>
  </w:endnote>
  <w:endnote w:type="continuationSeparator" w:id="0">
    <w:p w:rsidR="00004596" w:rsidRDefault="0000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96" w:rsidRDefault="00004596">
      <w:r>
        <w:rPr>
          <w:color w:val="000000"/>
        </w:rPr>
        <w:separator/>
      </w:r>
    </w:p>
  </w:footnote>
  <w:footnote w:type="continuationSeparator" w:id="0">
    <w:p w:rsidR="00004596" w:rsidRDefault="00004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1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F2AEA"/>
    <w:multiLevelType w:val="hybridMultilevel"/>
    <w:tmpl w:val="1F2C4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15"/>
  </w:num>
  <w:num w:numId="4">
    <w:abstractNumId w:val="19"/>
  </w:num>
  <w:num w:numId="5">
    <w:abstractNumId w:val="12"/>
  </w:num>
  <w:num w:numId="6">
    <w:abstractNumId w:val="23"/>
  </w:num>
  <w:num w:numId="7">
    <w:abstractNumId w:val="24"/>
  </w:num>
  <w:num w:numId="8">
    <w:abstractNumId w:val="0"/>
  </w:num>
  <w:num w:numId="9">
    <w:abstractNumId w:val="30"/>
  </w:num>
  <w:num w:numId="10">
    <w:abstractNumId w:val="27"/>
  </w:num>
  <w:num w:numId="11">
    <w:abstractNumId w:val="4"/>
  </w:num>
  <w:num w:numId="12">
    <w:abstractNumId w:val="1"/>
  </w:num>
  <w:num w:numId="13">
    <w:abstractNumId w:val="17"/>
  </w:num>
  <w:num w:numId="14">
    <w:abstractNumId w:val="2"/>
  </w:num>
  <w:num w:numId="15">
    <w:abstractNumId w:val="29"/>
  </w:num>
  <w:num w:numId="16">
    <w:abstractNumId w:val="6"/>
  </w:num>
  <w:num w:numId="17">
    <w:abstractNumId w:val="18"/>
  </w:num>
  <w:num w:numId="18">
    <w:abstractNumId w:val="14"/>
  </w:num>
  <w:num w:numId="19">
    <w:abstractNumId w:val="11"/>
  </w:num>
  <w:num w:numId="20">
    <w:abstractNumId w:val="18"/>
  </w:num>
  <w:num w:numId="21">
    <w:abstractNumId w:val="20"/>
  </w:num>
  <w:num w:numId="22">
    <w:abstractNumId w:val="5"/>
  </w:num>
  <w:num w:numId="23">
    <w:abstractNumId w:val="21"/>
  </w:num>
  <w:num w:numId="24">
    <w:abstractNumId w:val="31"/>
  </w:num>
  <w:num w:numId="25">
    <w:abstractNumId w:val="9"/>
  </w:num>
  <w:num w:numId="26">
    <w:abstractNumId w:val="10"/>
  </w:num>
  <w:num w:numId="27">
    <w:abstractNumId w:val="13"/>
  </w:num>
  <w:num w:numId="28">
    <w:abstractNumId w:val="28"/>
  </w:num>
  <w:num w:numId="29">
    <w:abstractNumId w:val="3"/>
  </w:num>
  <w:num w:numId="30">
    <w:abstractNumId w:val="26"/>
  </w:num>
  <w:num w:numId="31">
    <w:abstractNumId w:val="8"/>
  </w:num>
  <w:num w:numId="32">
    <w:abstractNumId w:val="16"/>
  </w:num>
  <w:num w:numId="3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596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87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65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4D5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0A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625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6FC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DE2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7FA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87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B0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0D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091D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2D2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259"/>
    <w:rsid w:val="005A3403"/>
    <w:rsid w:val="005A3504"/>
    <w:rsid w:val="005A3566"/>
    <w:rsid w:val="005A365A"/>
    <w:rsid w:val="005A3943"/>
    <w:rsid w:val="005A3CF6"/>
    <w:rsid w:val="005A43AA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028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1F6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0B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73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234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1B6E"/>
    <w:rsid w:val="007A1FF5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405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905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EE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09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8D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0AA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CFA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FE3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47A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01C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1DAF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4A2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672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A7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1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BB1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123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9A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3B3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1B2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6A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80B49"/>
  <w15:docId w15:val="{2ECD57CB-16B9-4CD2-B2C7-67E2399B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F2778-618B-4ABB-94AB-B9048FA3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455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19</cp:revision>
  <cp:lastPrinted>2020-03-12T17:46:00Z</cp:lastPrinted>
  <dcterms:created xsi:type="dcterms:W3CDTF">2020-09-10T00:09:00Z</dcterms:created>
  <dcterms:modified xsi:type="dcterms:W3CDTF">2020-09-11T22:00:00Z</dcterms:modified>
</cp:coreProperties>
</file>