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89156C">
        <w:rPr>
          <w:rFonts w:ascii="Arial" w:hAnsi="Arial" w:cs="Arial"/>
          <w:b/>
          <w:sz w:val="24"/>
          <w:szCs w:val="24"/>
        </w:rPr>
        <w:t>47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27500B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2"/>
          <w:szCs w:val="12"/>
          <w:lang w:val="es-MX"/>
        </w:rPr>
      </w:pPr>
    </w:p>
    <w:p w:rsidR="00143AF5" w:rsidRPr="000B0439" w:rsidRDefault="000B0439" w:rsidP="00D469EF">
      <w:pPr>
        <w:jc w:val="center"/>
        <w:rPr>
          <w:rFonts w:ascii="Arial" w:hAnsi="Arial" w:cs="Arial"/>
          <w:b/>
          <w:bCs/>
          <w:sz w:val="34"/>
          <w:szCs w:val="34"/>
          <w:lang w:val="es-ES"/>
        </w:rPr>
      </w:pPr>
      <w:r w:rsidRPr="000B0439">
        <w:rPr>
          <w:rFonts w:ascii="Arial" w:hAnsi="Arial" w:cs="Arial"/>
          <w:b/>
          <w:bCs/>
          <w:sz w:val="34"/>
          <w:szCs w:val="34"/>
          <w:lang w:val="es-ES"/>
        </w:rPr>
        <w:t>Refrendan convenio de colaboración UABC e ITAIPBC</w:t>
      </w:r>
    </w:p>
    <w:p w:rsidR="00143AF5" w:rsidRPr="0089156C" w:rsidRDefault="00143AF5" w:rsidP="00143AF5">
      <w:pPr>
        <w:rPr>
          <w:rFonts w:ascii="Arial" w:hAnsi="Arial" w:cs="Arial"/>
          <w:b/>
          <w:bCs/>
          <w:color w:val="FF0000"/>
          <w:sz w:val="16"/>
          <w:szCs w:val="16"/>
          <w:lang w:val="es-ES"/>
        </w:rPr>
      </w:pPr>
    </w:p>
    <w:p w:rsidR="00143AF5" w:rsidRDefault="001242E6" w:rsidP="001242E6">
      <w:pPr>
        <w:pStyle w:val="Prrafodelista"/>
        <w:numPr>
          <w:ilvl w:val="0"/>
          <w:numId w:val="35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1242E6">
        <w:rPr>
          <w:rFonts w:ascii="Arial" w:hAnsi="Arial" w:cs="Arial"/>
          <w:sz w:val="24"/>
          <w:szCs w:val="24"/>
        </w:rPr>
        <w:t>on la intención de promover una cultura de legalidad, transparencia y protección de datos personales</w:t>
      </w:r>
      <w:r>
        <w:rPr>
          <w:rFonts w:ascii="Arial" w:hAnsi="Arial" w:cs="Arial"/>
          <w:sz w:val="24"/>
          <w:szCs w:val="24"/>
        </w:rPr>
        <w:t>.</w:t>
      </w:r>
    </w:p>
    <w:p w:rsidR="001242E6" w:rsidRPr="001242E6" w:rsidRDefault="001242E6" w:rsidP="001242E6">
      <w:pPr>
        <w:pStyle w:val="Prrafodelista"/>
        <w:ind w:left="284"/>
        <w:rPr>
          <w:rFonts w:ascii="Arial" w:hAnsi="Arial" w:cs="Arial"/>
          <w:sz w:val="16"/>
          <w:szCs w:val="16"/>
        </w:rPr>
      </w:pPr>
    </w:p>
    <w:p w:rsidR="003A67B7" w:rsidRDefault="00FC2159" w:rsidP="0089156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5725E8">
        <w:rPr>
          <w:rFonts w:ascii="Arial" w:hAnsi="Arial" w:cs="Arial"/>
          <w:b/>
          <w:sz w:val="24"/>
          <w:szCs w:val="24"/>
          <w:lang w:val="es-ES"/>
        </w:rPr>
        <w:t xml:space="preserve">Mexicali, </w:t>
      </w:r>
      <w:r w:rsidR="00E92C78">
        <w:rPr>
          <w:rFonts w:ascii="Arial" w:hAnsi="Arial" w:cs="Arial"/>
          <w:b/>
          <w:sz w:val="24"/>
          <w:szCs w:val="24"/>
          <w:lang w:val="es-ES"/>
        </w:rPr>
        <w:t>viernes 25</w:t>
      </w:r>
      <w:bookmarkStart w:id="1" w:name="_GoBack"/>
      <w:bookmarkEnd w:id="1"/>
      <w:r w:rsidR="009529F9" w:rsidRPr="005725E8">
        <w:rPr>
          <w:rFonts w:ascii="Arial" w:hAnsi="Arial" w:cs="Arial"/>
          <w:b/>
          <w:sz w:val="24"/>
          <w:szCs w:val="24"/>
          <w:lang w:val="es-ES"/>
        </w:rPr>
        <w:t xml:space="preserve"> de septiembre de</w:t>
      </w:r>
      <w:r w:rsidRPr="005725E8">
        <w:rPr>
          <w:rFonts w:ascii="Arial" w:hAnsi="Arial" w:cs="Arial"/>
          <w:b/>
          <w:color w:val="FF0000"/>
          <w:sz w:val="24"/>
          <w:szCs w:val="24"/>
          <w:lang w:val="es-ES"/>
        </w:rPr>
        <w:t xml:space="preserve"> </w:t>
      </w:r>
      <w:r w:rsidR="00143AF5" w:rsidRPr="005725E8">
        <w:rPr>
          <w:rFonts w:ascii="Arial" w:hAnsi="Arial" w:cs="Arial"/>
          <w:b/>
          <w:sz w:val="24"/>
          <w:szCs w:val="24"/>
          <w:lang w:val="es-ES"/>
        </w:rPr>
        <w:t>2020</w:t>
      </w:r>
      <w:r w:rsidR="00143AF5" w:rsidRPr="005725E8">
        <w:rPr>
          <w:rFonts w:ascii="Arial" w:hAnsi="Arial" w:cs="Arial"/>
          <w:sz w:val="24"/>
          <w:szCs w:val="24"/>
          <w:lang w:val="es-ES"/>
        </w:rPr>
        <w:t xml:space="preserve">.- </w:t>
      </w:r>
      <w:r w:rsidR="0089156C">
        <w:rPr>
          <w:rFonts w:ascii="Arial" w:hAnsi="Arial" w:cs="Arial"/>
          <w:sz w:val="24"/>
          <w:szCs w:val="24"/>
          <w:lang w:val="es-ES"/>
        </w:rPr>
        <w:t>En el marco de la celebración de la Semana Estatal de Transparencia se llevó a cabo una firma de convenio de colaboración entre la Universidad Autónoma de Baja California (UABC) y el Instituto de Transparencia</w:t>
      </w:r>
      <w:r w:rsidR="007124A7">
        <w:rPr>
          <w:rFonts w:ascii="Arial" w:hAnsi="Arial" w:cs="Arial"/>
          <w:sz w:val="24"/>
          <w:szCs w:val="24"/>
          <w:lang w:val="es-ES"/>
        </w:rPr>
        <w:t>,</w:t>
      </w:r>
      <w:r w:rsidR="0089156C">
        <w:rPr>
          <w:rFonts w:ascii="Arial" w:hAnsi="Arial" w:cs="Arial"/>
          <w:sz w:val="24"/>
          <w:szCs w:val="24"/>
          <w:lang w:val="es-ES"/>
        </w:rPr>
        <w:t xml:space="preserve"> Acceso a la Información Pública</w:t>
      </w:r>
      <w:r w:rsidR="007124A7">
        <w:rPr>
          <w:rFonts w:ascii="Arial" w:hAnsi="Arial" w:cs="Arial"/>
          <w:sz w:val="24"/>
          <w:szCs w:val="24"/>
          <w:lang w:val="es-ES"/>
        </w:rPr>
        <w:t xml:space="preserve"> y Protección de Datos Personales </w:t>
      </w:r>
      <w:r w:rsidR="0089156C">
        <w:rPr>
          <w:rFonts w:ascii="Arial" w:hAnsi="Arial" w:cs="Arial"/>
          <w:sz w:val="24"/>
          <w:szCs w:val="24"/>
          <w:lang w:val="es-ES"/>
        </w:rPr>
        <w:t>del Estado de Baja California (ITAIPBC).</w:t>
      </w:r>
    </w:p>
    <w:p w:rsidR="0089156C" w:rsidRDefault="0089156C" w:rsidP="0089156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89156C" w:rsidRDefault="0089156C" w:rsidP="0089156C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Signaron el documento los titulares de las dependencias, el doctor Daniel Octavio Valdez Delgadillo y la </w:t>
      </w:r>
      <w:r w:rsidR="009D3752">
        <w:rPr>
          <w:rFonts w:ascii="Arial" w:hAnsi="Arial" w:cs="Arial"/>
          <w:sz w:val="24"/>
          <w:szCs w:val="24"/>
          <w:lang w:val="es-ES"/>
        </w:rPr>
        <w:t>licenciada Lucía Ariana Miranda Gómez, rector de la UABC y comisionada presidenta del ITAIPBC, respectivamente.</w:t>
      </w:r>
    </w:p>
    <w:p w:rsidR="009D3752" w:rsidRDefault="009D3752" w:rsidP="0089156C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FE21BE" w:rsidRDefault="009D3752" w:rsidP="007D4F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El </w:t>
      </w:r>
      <w:r w:rsidRPr="006244A5">
        <w:rPr>
          <w:rFonts w:ascii="Arial" w:hAnsi="Arial" w:cs="Arial"/>
          <w:sz w:val="24"/>
          <w:szCs w:val="24"/>
          <w:lang w:val="es-ES"/>
        </w:rPr>
        <w:t xml:space="preserve">doctor Valdez Delgadillo </w:t>
      </w:r>
      <w:r w:rsidR="007D4F15" w:rsidRPr="006244A5">
        <w:rPr>
          <w:rFonts w:ascii="Arial" w:hAnsi="Arial" w:cs="Arial"/>
          <w:sz w:val="24"/>
          <w:szCs w:val="24"/>
          <w:lang w:val="es-ES"/>
        </w:rPr>
        <w:t xml:space="preserve">señaló que se </w:t>
      </w:r>
      <w:r w:rsidR="00FE21BE" w:rsidRPr="00FE21BE">
        <w:rPr>
          <w:rFonts w:ascii="Arial" w:hAnsi="Arial" w:cs="Arial"/>
          <w:sz w:val="24"/>
          <w:szCs w:val="24"/>
        </w:rPr>
        <w:t>ha generado una inercia entre la UABC y el ITAIPBC</w:t>
      </w:r>
      <w:r w:rsidR="007D4F15" w:rsidRPr="006244A5">
        <w:rPr>
          <w:rFonts w:ascii="Arial" w:hAnsi="Arial" w:cs="Arial"/>
          <w:sz w:val="24"/>
          <w:szCs w:val="24"/>
        </w:rPr>
        <w:t xml:space="preserve"> a través de </w:t>
      </w:r>
      <w:r w:rsidR="00FE21BE" w:rsidRPr="00FE21BE">
        <w:rPr>
          <w:rFonts w:ascii="Arial" w:hAnsi="Arial" w:cs="Arial"/>
          <w:sz w:val="24"/>
          <w:szCs w:val="24"/>
        </w:rPr>
        <w:t>diversas colaboraciones conjuntas</w:t>
      </w:r>
      <w:r w:rsidR="007D4F15" w:rsidRPr="006244A5">
        <w:rPr>
          <w:rFonts w:ascii="Arial" w:hAnsi="Arial" w:cs="Arial"/>
          <w:sz w:val="24"/>
          <w:szCs w:val="24"/>
        </w:rPr>
        <w:t xml:space="preserve">, las cuales han beneficiado tanto </w:t>
      </w:r>
      <w:r w:rsidR="00FE21BE" w:rsidRPr="00FE21BE">
        <w:rPr>
          <w:rFonts w:ascii="Arial" w:hAnsi="Arial" w:cs="Arial"/>
          <w:sz w:val="24"/>
          <w:szCs w:val="24"/>
        </w:rPr>
        <w:t xml:space="preserve">a la </w:t>
      </w:r>
      <w:r w:rsidR="007D4F15" w:rsidRPr="006244A5">
        <w:rPr>
          <w:rFonts w:ascii="Arial" w:hAnsi="Arial" w:cs="Arial"/>
          <w:sz w:val="24"/>
          <w:szCs w:val="24"/>
        </w:rPr>
        <w:t xml:space="preserve">comunidad universitaria como </w:t>
      </w:r>
      <w:r w:rsidR="00FE21BE" w:rsidRPr="00FE21BE">
        <w:rPr>
          <w:rFonts w:ascii="Arial" w:hAnsi="Arial" w:cs="Arial"/>
          <w:sz w:val="24"/>
          <w:szCs w:val="24"/>
        </w:rPr>
        <w:t>a la sociedad bajacaliforniana. </w:t>
      </w:r>
    </w:p>
    <w:p w:rsidR="003A0C19" w:rsidRDefault="003A0C19" w:rsidP="007D4F15">
      <w:pPr>
        <w:jc w:val="both"/>
        <w:rPr>
          <w:rFonts w:ascii="Arial" w:hAnsi="Arial" w:cs="Arial"/>
          <w:sz w:val="24"/>
          <w:szCs w:val="24"/>
        </w:rPr>
      </w:pPr>
    </w:p>
    <w:p w:rsidR="003A0C19" w:rsidRPr="006244A5" w:rsidRDefault="003A0C19" w:rsidP="007D4F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licenciada Miranda Gómez </w:t>
      </w:r>
      <w:r w:rsidR="00243F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gradeció el apoyo que la</w:t>
      </w:r>
      <w:r w:rsidR="002F625A">
        <w:rPr>
          <w:rFonts w:ascii="Arial" w:hAnsi="Arial" w:cs="Arial"/>
          <w:sz w:val="24"/>
          <w:szCs w:val="24"/>
        </w:rPr>
        <w:t xml:space="preserve"> máxima casa de estudios le ha brindado al organismo que ella encabeza, lo que ha creado una unión significativa.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244A5" w:rsidRPr="006244A5" w:rsidRDefault="006244A5" w:rsidP="007D4F15">
      <w:pPr>
        <w:jc w:val="both"/>
        <w:rPr>
          <w:rFonts w:ascii="Arial" w:hAnsi="Arial" w:cs="Arial"/>
          <w:sz w:val="24"/>
          <w:szCs w:val="24"/>
        </w:rPr>
      </w:pPr>
    </w:p>
    <w:p w:rsidR="006244A5" w:rsidRDefault="006244A5" w:rsidP="006244A5">
      <w:pPr>
        <w:jc w:val="both"/>
        <w:rPr>
          <w:rFonts w:ascii="Arial" w:hAnsi="Arial" w:cs="Arial"/>
          <w:sz w:val="24"/>
          <w:szCs w:val="24"/>
        </w:rPr>
      </w:pPr>
      <w:r w:rsidRPr="006244A5">
        <w:rPr>
          <w:rFonts w:ascii="Arial" w:hAnsi="Arial" w:cs="Arial"/>
          <w:sz w:val="24"/>
          <w:szCs w:val="24"/>
        </w:rPr>
        <w:t xml:space="preserve">La maestra </w:t>
      </w:r>
      <w:r w:rsidR="00FE21BE" w:rsidRPr="00FE21BE">
        <w:rPr>
          <w:rFonts w:ascii="Arial" w:hAnsi="Arial" w:cs="Arial"/>
          <w:sz w:val="24"/>
          <w:szCs w:val="24"/>
        </w:rPr>
        <w:t>Karina Cárdenas Rodríguez, coordinadora de la Unidad de Transparencia y Acceso a la</w:t>
      </w:r>
      <w:r>
        <w:rPr>
          <w:rFonts w:ascii="Arial" w:hAnsi="Arial" w:cs="Arial"/>
          <w:sz w:val="24"/>
          <w:szCs w:val="24"/>
        </w:rPr>
        <w:t xml:space="preserve"> Información Pública de la UABC, expuso que ya existía un convenio de colaboración con el ITAIPBC, </w:t>
      </w:r>
      <w:r w:rsidRPr="006244A5">
        <w:rPr>
          <w:rFonts w:ascii="Arial" w:hAnsi="Arial" w:cs="Arial"/>
          <w:sz w:val="24"/>
          <w:szCs w:val="24"/>
        </w:rPr>
        <w:t xml:space="preserve">solo que la normatividad que lo regía no estaba actualizada. “Además, de esta forma la </w:t>
      </w:r>
      <w:r w:rsidR="007D4F15" w:rsidRPr="007D4F15">
        <w:rPr>
          <w:rFonts w:ascii="Arial" w:hAnsi="Arial" w:cs="Arial"/>
          <w:sz w:val="24"/>
          <w:szCs w:val="24"/>
        </w:rPr>
        <w:t>UABC refrenda su compromiso con la transparencia y no solo eso, plasma actividades que de manera conjunta se van a realizar con el ITAIPBC</w:t>
      </w:r>
      <w:r>
        <w:rPr>
          <w:rFonts w:ascii="Arial" w:hAnsi="Arial" w:cs="Arial"/>
          <w:sz w:val="24"/>
          <w:szCs w:val="24"/>
        </w:rPr>
        <w:t>”.</w:t>
      </w:r>
    </w:p>
    <w:p w:rsidR="006244A5" w:rsidRDefault="006244A5" w:rsidP="006244A5">
      <w:pPr>
        <w:jc w:val="both"/>
        <w:rPr>
          <w:rFonts w:ascii="Arial" w:hAnsi="Arial" w:cs="Arial"/>
          <w:sz w:val="24"/>
          <w:szCs w:val="24"/>
        </w:rPr>
      </w:pPr>
    </w:p>
    <w:p w:rsidR="007D4F15" w:rsidRDefault="00303728" w:rsidP="006244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Algunas de </w:t>
      </w:r>
      <w:r w:rsidR="0080119C">
        <w:rPr>
          <w:rFonts w:ascii="Arial" w:hAnsi="Arial" w:cs="Arial"/>
          <w:sz w:val="24"/>
          <w:szCs w:val="24"/>
        </w:rPr>
        <w:t>dichas actividades s</w:t>
      </w:r>
      <w:r>
        <w:rPr>
          <w:rFonts w:ascii="Arial" w:hAnsi="Arial" w:cs="Arial"/>
          <w:sz w:val="24"/>
          <w:szCs w:val="24"/>
        </w:rPr>
        <w:t>on</w:t>
      </w:r>
      <w:r w:rsidR="007D4F15" w:rsidRPr="007D4F15">
        <w:rPr>
          <w:rFonts w:ascii="Arial" w:hAnsi="Arial" w:cs="Arial"/>
          <w:sz w:val="24"/>
          <w:szCs w:val="24"/>
        </w:rPr>
        <w:t xml:space="preserve"> talleres, foros, seminarios, </w:t>
      </w:r>
      <w:r w:rsidR="0080119C">
        <w:rPr>
          <w:rFonts w:ascii="Arial" w:hAnsi="Arial" w:cs="Arial"/>
          <w:sz w:val="24"/>
          <w:szCs w:val="24"/>
        </w:rPr>
        <w:t xml:space="preserve">así como </w:t>
      </w:r>
      <w:r w:rsidR="007D4F15" w:rsidRPr="007D4F15">
        <w:rPr>
          <w:rFonts w:ascii="Arial" w:hAnsi="Arial" w:cs="Arial"/>
          <w:sz w:val="24"/>
          <w:szCs w:val="24"/>
        </w:rPr>
        <w:t xml:space="preserve">la posibilidad de integrar </w:t>
      </w:r>
      <w:r w:rsidR="0080119C">
        <w:rPr>
          <w:rFonts w:ascii="Arial" w:hAnsi="Arial" w:cs="Arial"/>
          <w:sz w:val="24"/>
          <w:szCs w:val="24"/>
        </w:rPr>
        <w:t>en</w:t>
      </w:r>
      <w:r w:rsidR="007D4F15" w:rsidRPr="007D4F15">
        <w:rPr>
          <w:rFonts w:ascii="Arial" w:hAnsi="Arial" w:cs="Arial"/>
          <w:sz w:val="24"/>
          <w:szCs w:val="24"/>
        </w:rPr>
        <w:t xml:space="preserve"> los programas educativos de la máxima casa de estudios, temas de transparencia, protección de datos, revisión de cuentas, generación de informac</w:t>
      </w:r>
      <w:r>
        <w:rPr>
          <w:rFonts w:ascii="Arial" w:hAnsi="Arial" w:cs="Arial"/>
          <w:sz w:val="24"/>
          <w:szCs w:val="24"/>
        </w:rPr>
        <w:t>ión de apoyo que se difunda en</w:t>
      </w:r>
      <w:r w:rsidR="007D4F15" w:rsidRPr="007D4F15">
        <w:rPr>
          <w:rFonts w:ascii="Arial" w:hAnsi="Arial" w:cs="Arial"/>
          <w:sz w:val="24"/>
          <w:szCs w:val="24"/>
        </w:rPr>
        <w:t xml:space="preserve"> ambas instituciones, entre otros </w:t>
      </w:r>
      <w:r w:rsidR="0080119C">
        <w:rPr>
          <w:rFonts w:ascii="Arial" w:hAnsi="Arial" w:cs="Arial"/>
          <w:sz w:val="24"/>
          <w:szCs w:val="24"/>
        </w:rPr>
        <w:t>que sean</w:t>
      </w:r>
      <w:r w:rsidR="007D4F15" w:rsidRPr="007D4F15">
        <w:rPr>
          <w:rFonts w:ascii="Arial" w:hAnsi="Arial" w:cs="Arial"/>
          <w:sz w:val="24"/>
          <w:szCs w:val="24"/>
        </w:rPr>
        <w:t xml:space="preserve"> afines. "Todo esto con la intención de promover una cultura de legalidad, transparencia y protección de datos personales, pero con enfoque cimarrón</w:t>
      </w:r>
      <w:r w:rsidR="006244A5" w:rsidRPr="006244A5">
        <w:rPr>
          <w:rFonts w:ascii="Arial" w:hAnsi="Arial" w:cs="Arial"/>
          <w:sz w:val="24"/>
          <w:szCs w:val="24"/>
        </w:rPr>
        <w:t>”, expresó</w:t>
      </w:r>
      <w:r w:rsidR="006244A5">
        <w:rPr>
          <w:rFonts w:ascii="Arial" w:hAnsi="Arial" w:cs="Arial"/>
          <w:sz w:val="24"/>
          <w:szCs w:val="24"/>
        </w:rPr>
        <w:t xml:space="preserve"> la coordinadora.</w:t>
      </w:r>
    </w:p>
    <w:p w:rsidR="006244A5" w:rsidRDefault="006244A5" w:rsidP="006244A5">
      <w:pPr>
        <w:jc w:val="both"/>
        <w:rPr>
          <w:rFonts w:ascii="Arial" w:hAnsi="Arial" w:cs="Arial"/>
          <w:sz w:val="24"/>
          <w:szCs w:val="24"/>
        </w:rPr>
      </w:pPr>
    </w:p>
    <w:p w:rsidR="007D4F15" w:rsidRDefault="006244A5" w:rsidP="000B04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manera puntual, expuso que</w:t>
      </w:r>
      <w:r w:rsidR="000B0439">
        <w:rPr>
          <w:rFonts w:ascii="Arial" w:hAnsi="Arial" w:cs="Arial"/>
          <w:sz w:val="24"/>
          <w:szCs w:val="24"/>
        </w:rPr>
        <w:t xml:space="preserve"> uno de los eventos convenidos </w:t>
      </w:r>
      <w:r w:rsidR="00303728">
        <w:rPr>
          <w:rFonts w:ascii="Arial" w:hAnsi="Arial" w:cs="Arial"/>
          <w:sz w:val="24"/>
          <w:szCs w:val="24"/>
        </w:rPr>
        <w:t xml:space="preserve">por </w:t>
      </w:r>
      <w:r w:rsidR="000B0439">
        <w:rPr>
          <w:rFonts w:ascii="Arial" w:hAnsi="Arial" w:cs="Arial"/>
          <w:sz w:val="24"/>
          <w:szCs w:val="24"/>
        </w:rPr>
        <w:t>la UABC y el ITAIPBC es el Diplomado en Gestión Documental que iniciará</w:t>
      </w:r>
      <w:r>
        <w:rPr>
          <w:rFonts w:ascii="Arial" w:hAnsi="Arial" w:cs="Arial"/>
          <w:sz w:val="24"/>
          <w:szCs w:val="24"/>
        </w:rPr>
        <w:t xml:space="preserve"> el próximo 6 de octubre </w:t>
      </w:r>
      <w:r w:rsidR="000B0439">
        <w:rPr>
          <w:rFonts w:ascii="Arial" w:hAnsi="Arial" w:cs="Arial"/>
          <w:sz w:val="24"/>
          <w:szCs w:val="24"/>
        </w:rPr>
        <w:t xml:space="preserve">la Facultad de Derecho Mexicali. Agregó que </w:t>
      </w:r>
      <w:r w:rsidR="007D4F15" w:rsidRPr="007D4F15">
        <w:rPr>
          <w:rFonts w:ascii="Arial" w:hAnsi="Arial" w:cs="Arial"/>
          <w:sz w:val="24"/>
          <w:szCs w:val="24"/>
        </w:rPr>
        <w:t xml:space="preserve">es el primero en la entidad </w:t>
      </w:r>
      <w:r w:rsidR="000B0439">
        <w:rPr>
          <w:rFonts w:ascii="Arial" w:hAnsi="Arial" w:cs="Arial"/>
          <w:sz w:val="24"/>
          <w:szCs w:val="24"/>
        </w:rPr>
        <w:t>que aborda</w:t>
      </w:r>
      <w:r w:rsidR="007D4F15" w:rsidRPr="007D4F15">
        <w:rPr>
          <w:rFonts w:ascii="Arial" w:hAnsi="Arial" w:cs="Arial"/>
          <w:sz w:val="24"/>
          <w:szCs w:val="24"/>
        </w:rPr>
        <w:t xml:space="preserve"> este tema</w:t>
      </w:r>
      <w:r w:rsidR="000B0439">
        <w:rPr>
          <w:rFonts w:ascii="Arial" w:hAnsi="Arial" w:cs="Arial"/>
          <w:sz w:val="24"/>
          <w:szCs w:val="24"/>
        </w:rPr>
        <w:t>, ya que está</w:t>
      </w:r>
      <w:r w:rsidR="007D4F15" w:rsidRPr="007D4F15">
        <w:rPr>
          <w:rFonts w:ascii="Arial" w:hAnsi="Arial" w:cs="Arial"/>
          <w:sz w:val="24"/>
          <w:szCs w:val="24"/>
        </w:rPr>
        <w:t xml:space="preserve"> diseñado en observancia a la reciente Ley General de Archivos</w:t>
      </w:r>
      <w:r w:rsidR="000B0439">
        <w:rPr>
          <w:rFonts w:ascii="Arial" w:hAnsi="Arial" w:cs="Arial"/>
          <w:sz w:val="24"/>
          <w:szCs w:val="24"/>
        </w:rPr>
        <w:t>, publicada en</w:t>
      </w:r>
      <w:r w:rsidR="007D4F15" w:rsidRPr="007D4F15">
        <w:rPr>
          <w:rFonts w:ascii="Arial" w:hAnsi="Arial" w:cs="Arial"/>
          <w:sz w:val="24"/>
          <w:szCs w:val="24"/>
        </w:rPr>
        <w:t xml:space="preserve"> </w:t>
      </w:r>
      <w:r w:rsidR="000B0439">
        <w:rPr>
          <w:rFonts w:ascii="Arial" w:hAnsi="Arial" w:cs="Arial"/>
          <w:sz w:val="24"/>
          <w:szCs w:val="24"/>
        </w:rPr>
        <w:t xml:space="preserve">junio de </w:t>
      </w:r>
      <w:r w:rsidR="007D4F15" w:rsidRPr="007D4F15">
        <w:rPr>
          <w:rFonts w:ascii="Arial" w:hAnsi="Arial" w:cs="Arial"/>
          <w:sz w:val="24"/>
          <w:szCs w:val="24"/>
        </w:rPr>
        <w:t>2019</w:t>
      </w:r>
      <w:r w:rsidR="000B0439">
        <w:rPr>
          <w:rFonts w:ascii="Arial" w:hAnsi="Arial" w:cs="Arial"/>
          <w:sz w:val="24"/>
          <w:szCs w:val="24"/>
        </w:rPr>
        <w:t>.</w:t>
      </w:r>
    </w:p>
    <w:p w:rsidR="000B0439" w:rsidRDefault="000B0439" w:rsidP="000B0439">
      <w:pPr>
        <w:jc w:val="both"/>
        <w:rPr>
          <w:rFonts w:ascii="Arial" w:hAnsi="Arial" w:cs="Arial"/>
          <w:sz w:val="24"/>
          <w:szCs w:val="24"/>
        </w:rPr>
      </w:pPr>
    </w:p>
    <w:p w:rsidR="003A0C19" w:rsidRPr="007D4F15" w:rsidRDefault="003A0C19" w:rsidP="000B04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la firma de</w:t>
      </w:r>
      <w:r w:rsidR="00243F16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convenio también se contó con la presencia del doctor David Guadalupe Toledo Sarracino, coordinador general de Vinculación y Cooperación Académica de la UABC, así como de los comisionados propietarios</w:t>
      </w:r>
      <w:r w:rsidR="001242E6">
        <w:rPr>
          <w:rFonts w:ascii="Arial" w:hAnsi="Arial" w:cs="Arial"/>
          <w:sz w:val="24"/>
          <w:szCs w:val="24"/>
        </w:rPr>
        <w:t xml:space="preserve"> del ITAIPBC, Cinthya Denise Gómez Castañeda y Jesús Alberto Sandoval Franco.</w:t>
      </w:r>
    </w:p>
    <w:p w:rsidR="00FE21BE" w:rsidRPr="00FE21BE" w:rsidRDefault="00FE21BE" w:rsidP="00FE21BE">
      <w:pPr>
        <w:suppressAutoHyphens w:val="0"/>
        <w:autoSpaceDN/>
        <w:rPr>
          <w:rFonts w:ascii="Times New Roman" w:hAnsi="Times New Roman"/>
          <w:sz w:val="24"/>
          <w:szCs w:val="24"/>
        </w:rPr>
      </w:pPr>
      <w:r w:rsidRPr="00FE21BE">
        <w:rPr>
          <w:rFonts w:ascii="Times New Roman" w:hAnsi="Times New Roman"/>
          <w:sz w:val="24"/>
          <w:szCs w:val="24"/>
        </w:rPr>
        <w:t> </w:t>
      </w:r>
    </w:p>
    <w:p w:rsidR="00143AF5" w:rsidRPr="00243F16" w:rsidRDefault="00E763D0" w:rsidP="003A67B7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243F16">
        <w:rPr>
          <w:rFonts w:ascii="Arial" w:hAnsi="Arial" w:cs="Arial"/>
          <w:color w:val="FFFFFF" w:themeColor="background1"/>
          <w:sz w:val="16"/>
          <w:szCs w:val="16"/>
        </w:rPr>
        <w:t xml:space="preserve">Redacción: </w:t>
      </w:r>
      <w:r w:rsidR="0089156C" w:rsidRPr="00243F16">
        <w:rPr>
          <w:rFonts w:ascii="Arial" w:hAnsi="Arial" w:cs="Arial"/>
          <w:color w:val="FFFFFF" w:themeColor="background1"/>
          <w:sz w:val="16"/>
          <w:szCs w:val="16"/>
        </w:rPr>
        <w:t>Norma</w:t>
      </w:r>
      <w:r w:rsidR="009529F9" w:rsidRPr="00243F16">
        <w:rPr>
          <w:rFonts w:ascii="Arial" w:hAnsi="Arial" w:cs="Arial"/>
          <w:color w:val="FFFFFF" w:themeColor="background1"/>
          <w:sz w:val="16"/>
          <w:szCs w:val="16"/>
        </w:rPr>
        <w:t xml:space="preserve"> Angélica Gómez</w:t>
      </w:r>
      <w:r w:rsidR="0089156C" w:rsidRPr="00243F16">
        <w:rPr>
          <w:rFonts w:ascii="Arial" w:hAnsi="Arial" w:cs="Arial"/>
          <w:color w:val="FFFFFF" w:themeColor="background1"/>
          <w:sz w:val="16"/>
          <w:szCs w:val="16"/>
        </w:rPr>
        <w:t xml:space="preserve"> Bravo</w:t>
      </w:r>
    </w:p>
    <w:p w:rsidR="00E763D0" w:rsidRPr="00243F16" w:rsidRDefault="00E763D0" w:rsidP="003A67B7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243F16">
        <w:rPr>
          <w:rFonts w:ascii="Arial" w:hAnsi="Arial" w:cs="Arial"/>
          <w:color w:val="FFFFFF" w:themeColor="background1"/>
          <w:sz w:val="16"/>
          <w:szCs w:val="16"/>
        </w:rPr>
        <w:t xml:space="preserve">Foto: </w:t>
      </w:r>
      <w:r w:rsidR="0089156C" w:rsidRPr="00243F16">
        <w:rPr>
          <w:rFonts w:ascii="Arial" w:hAnsi="Arial" w:cs="Arial"/>
          <w:color w:val="FFFFFF" w:themeColor="background1"/>
          <w:sz w:val="16"/>
          <w:szCs w:val="16"/>
        </w:rPr>
        <w:t>Jorge Armando Ruíz Velarde</w:t>
      </w:r>
    </w:p>
    <w:sectPr w:rsidR="00E763D0" w:rsidRPr="00243F16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CA4" w:rsidRDefault="00195CA4">
      <w:r>
        <w:separator/>
      </w:r>
    </w:p>
  </w:endnote>
  <w:endnote w:type="continuationSeparator" w:id="0">
    <w:p w:rsidR="00195CA4" w:rsidRDefault="0019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CA4" w:rsidRDefault="00195CA4">
      <w:r>
        <w:rPr>
          <w:color w:val="000000"/>
        </w:rPr>
        <w:separator/>
      </w:r>
    </w:p>
  </w:footnote>
  <w:footnote w:type="continuationSeparator" w:id="0">
    <w:p w:rsidR="00195CA4" w:rsidRDefault="00195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2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7"/>
  </w:num>
  <w:num w:numId="4">
    <w:abstractNumId w:val="20"/>
  </w:num>
  <w:num w:numId="5">
    <w:abstractNumId w:val="13"/>
  </w:num>
  <w:num w:numId="6">
    <w:abstractNumId w:val="24"/>
  </w:num>
  <w:num w:numId="7">
    <w:abstractNumId w:val="26"/>
  </w:num>
  <w:num w:numId="8">
    <w:abstractNumId w:val="1"/>
  </w:num>
  <w:num w:numId="9">
    <w:abstractNumId w:val="32"/>
  </w:num>
  <w:num w:numId="10">
    <w:abstractNumId w:val="29"/>
  </w:num>
  <w:num w:numId="11">
    <w:abstractNumId w:val="5"/>
  </w:num>
  <w:num w:numId="12">
    <w:abstractNumId w:val="2"/>
  </w:num>
  <w:num w:numId="13">
    <w:abstractNumId w:val="18"/>
  </w:num>
  <w:num w:numId="14">
    <w:abstractNumId w:val="3"/>
  </w:num>
  <w:num w:numId="15">
    <w:abstractNumId w:val="31"/>
  </w:num>
  <w:num w:numId="16">
    <w:abstractNumId w:val="8"/>
  </w:num>
  <w:num w:numId="17">
    <w:abstractNumId w:val="19"/>
  </w:num>
  <w:num w:numId="18">
    <w:abstractNumId w:val="16"/>
  </w:num>
  <w:num w:numId="19">
    <w:abstractNumId w:val="12"/>
  </w:num>
  <w:num w:numId="20">
    <w:abstractNumId w:val="19"/>
  </w:num>
  <w:num w:numId="21">
    <w:abstractNumId w:val="21"/>
  </w:num>
  <w:num w:numId="22">
    <w:abstractNumId w:val="6"/>
  </w:num>
  <w:num w:numId="23">
    <w:abstractNumId w:val="22"/>
  </w:num>
  <w:num w:numId="24">
    <w:abstractNumId w:val="33"/>
  </w:num>
  <w:num w:numId="25">
    <w:abstractNumId w:val="10"/>
  </w:num>
  <w:num w:numId="26">
    <w:abstractNumId w:val="11"/>
  </w:num>
  <w:num w:numId="27">
    <w:abstractNumId w:val="14"/>
  </w:num>
  <w:num w:numId="28">
    <w:abstractNumId w:val="30"/>
  </w:num>
  <w:num w:numId="29">
    <w:abstractNumId w:val="4"/>
  </w:num>
  <w:num w:numId="30">
    <w:abstractNumId w:val="28"/>
  </w:num>
  <w:num w:numId="31">
    <w:abstractNumId w:val="9"/>
  </w:num>
  <w:num w:numId="32">
    <w:abstractNumId w:val="0"/>
  </w:num>
  <w:num w:numId="33">
    <w:abstractNumId w:val="25"/>
  </w:num>
  <w:num w:numId="34">
    <w:abstractNumId w:val="7"/>
  </w:num>
  <w:num w:numId="3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0EABB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FA816-5A74-4480-83F4-0FE7E224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445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13</cp:revision>
  <cp:lastPrinted>2020-03-12T17:46:00Z</cp:lastPrinted>
  <dcterms:created xsi:type="dcterms:W3CDTF">2020-09-23T19:46:00Z</dcterms:created>
  <dcterms:modified xsi:type="dcterms:W3CDTF">2020-09-25T21:24:00Z</dcterms:modified>
</cp:coreProperties>
</file>