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7572F">
        <w:rPr>
          <w:rFonts w:ascii="Arial" w:hAnsi="Arial" w:cs="Arial"/>
          <w:b/>
          <w:sz w:val="24"/>
          <w:szCs w:val="24"/>
        </w:rPr>
        <w:t>5</w:t>
      </w:r>
      <w:r w:rsidR="003718D1">
        <w:rPr>
          <w:rFonts w:ascii="Arial" w:hAnsi="Arial" w:cs="Arial"/>
          <w:b/>
          <w:sz w:val="24"/>
          <w:szCs w:val="24"/>
        </w:rPr>
        <w:t>2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681460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20"/>
          <w:szCs w:val="20"/>
          <w:lang w:val="es-MX"/>
        </w:rPr>
      </w:pPr>
    </w:p>
    <w:p w:rsidR="0097572F" w:rsidRDefault="00637BF6" w:rsidP="003718D1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rFonts w:ascii="Arial" w:hAnsi="Arial" w:cs="Arial"/>
          <w:b/>
          <w:sz w:val="36"/>
          <w:lang w:val="es-MX"/>
        </w:rPr>
        <w:t>Protege y fortalece</w:t>
      </w:r>
      <w:r w:rsidR="0097572F" w:rsidRPr="0097572F">
        <w:rPr>
          <w:rFonts w:ascii="Arial" w:hAnsi="Arial" w:cs="Arial"/>
          <w:b/>
          <w:sz w:val="36"/>
          <w:lang w:val="es-MX"/>
        </w:rPr>
        <w:t xml:space="preserve"> UABC </w:t>
      </w:r>
      <w:r w:rsidR="003718D1">
        <w:rPr>
          <w:rFonts w:ascii="Arial" w:hAnsi="Arial" w:cs="Arial"/>
          <w:b/>
          <w:sz w:val="36"/>
          <w:lang w:val="es-MX"/>
        </w:rPr>
        <w:t>los Derechos Humanos</w:t>
      </w:r>
    </w:p>
    <w:p w:rsidR="003718D1" w:rsidRDefault="003718D1" w:rsidP="003718D1">
      <w:pPr>
        <w:pStyle w:val="NormalWeb"/>
        <w:spacing w:before="0" w:after="0"/>
        <w:jc w:val="center"/>
        <w:rPr>
          <w:rFonts w:ascii="Arial" w:hAnsi="Arial" w:cs="Arial"/>
          <w:lang w:val="es-MX"/>
        </w:rPr>
      </w:pPr>
    </w:p>
    <w:p w:rsidR="0097572F" w:rsidRDefault="00637BF6" w:rsidP="00637BF6">
      <w:pPr>
        <w:pStyle w:val="NormalWeb"/>
        <w:numPr>
          <w:ilvl w:val="0"/>
          <w:numId w:val="41"/>
        </w:numPr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</w:t>
      </w:r>
      <w:r w:rsidR="00931302">
        <w:rPr>
          <w:rFonts w:ascii="Arial" w:hAnsi="Arial" w:cs="Arial"/>
          <w:lang w:val="es-MX"/>
        </w:rPr>
        <w:t>irma</w:t>
      </w:r>
      <w:r>
        <w:rPr>
          <w:rFonts w:ascii="Arial" w:hAnsi="Arial" w:cs="Arial"/>
          <w:lang w:val="es-MX"/>
        </w:rPr>
        <w:t xml:space="preserve"> convenio general de colaboración </w:t>
      </w:r>
      <w:r>
        <w:rPr>
          <w:rFonts w:ascii="Arial" w:hAnsi="Arial" w:cs="Arial"/>
          <w:lang w:val="es-MX"/>
        </w:rPr>
        <w:t xml:space="preserve">con la </w:t>
      </w:r>
      <w:r>
        <w:rPr>
          <w:rFonts w:ascii="Arial" w:hAnsi="Arial" w:cs="Arial"/>
          <w:lang w:val="es-MX"/>
        </w:rPr>
        <w:t>Comisión Estatal de Derechos Humanos (CEDH) de Baja California.</w:t>
      </w:r>
    </w:p>
    <w:p w:rsidR="00637BF6" w:rsidRPr="0097572F" w:rsidRDefault="00637BF6" w:rsidP="0097572F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718D1" w:rsidRDefault="0097572F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7572F">
        <w:rPr>
          <w:rFonts w:ascii="Arial" w:hAnsi="Arial" w:cs="Arial"/>
          <w:b/>
          <w:lang w:val="es-MX"/>
        </w:rPr>
        <w:t xml:space="preserve">Mexicali, B.C., </w:t>
      </w:r>
      <w:r w:rsidR="003718D1">
        <w:rPr>
          <w:rFonts w:ascii="Arial" w:hAnsi="Arial" w:cs="Arial"/>
          <w:b/>
          <w:lang w:val="es-MX"/>
        </w:rPr>
        <w:t>miércoles 7</w:t>
      </w:r>
      <w:r w:rsidRPr="0097572F">
        <w:rPr>
          <w:rFonts w:ascii="Arial" w:hAnsi="Arial" w:cs="Arial"/>
          <w:b/>
          <w:lang w:val="es-MX"/>
        </w:rPr>
        <w:t xml:space="preserve"> de octubre de 2020</w:t>
      </w:r>
      <w:r>
        <w:rPr>
          <w:rFonts w:ascii="Arial" w:hAnsi="Arial" w:cs="Arial"/>
          <w:lang w:val="es-MX"/>
        </w:rPr>
        <w:t xml:space="preserve">.- </w:t>
      </w:r>
      <w:r w:rsidR="003718D1">
        <w:rPr>
          <w:rFonts w:ascii="Arial" w:hAnsi="Arial" w:cs="Arial"/>
          <w:lang w:val="es-MX"/>
        </w:rPr>
        <w:t>Para impulsar y fortalecer los derechos humanos en Baja California</w:t>
      </w:r>
      <w:r w:rsidR="007F7F5F">
        <w:rPr>
          <w:rFonts w:ascii="Arial" w:hAnsi="Arial" w:cs="Arial"/>
          <w:lang w:val="es-MX"/>
        </w:rPr>
        <w:t xml:space="preserve"> a través de una serie de actividades conjuntas</w:t>
      </w:r>
      <w:r w:rsidR="00931302">
        <w:rPr>
          <w:rFonts w:ascii="Arial" w:hAnsi="Arial" w:cs="Arial"/>
          <w:lang w:val="es-MX"/>
        </w:rPr>
        <w:t>, se llevó a cabo l</w:t>
      </w:r>
      <w:r w:rsidR="003718D1">
        <w:rPr>
          <w:rFonts w:ascii="Arial" w:hAnsi="Arial" w:cs="Arial"/>
          <w:lang w:val="es-MX"/>
        </w:rPr>
        <w:t xml:space="preserve">a firma de un convenio </w:t>
      </w:r>
      <w:r w:rsidR="0006765A">
        <w:rPr>
          <w:rFonts w:ascii="Arial" w:hAnsi="Arial" w:cs="Arial"/>
          <w:lang w:val="es-MX"/>
        </w:rPr>
        <w:t>general</w:t>
      </w:r>
      <w:r w:rsidR="003718D1">
        <w:rPr>
          <w:rFonts w:ascii="Arial" w:hAnsi="Arial" w:cs="Arial"/>
          <w:lang w:val="es-MX"/>
        </w:rPr>
        <w:t xml:space="preserve"> de colaboración entre la Universidad Autónoma de Baja California (UABC) y la Comisión Estatal de Derechos Humanos (CEDH) de Baja California.</w:t>
      </w:r>
    </w:p>
    <w:p w:rsidR="003718D1" w:rsidRPr="00F43B7A" w:rsidRDefault="003718D1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97572F" w:rsidRDefault="003718D1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Fue signado por </w:t>
      </w:r>
      <w:r w:rsidR="007F7F5F">
        <w:rPr>
          <w:rFonts w:ascii="Arial" w:hAnsi="Arial" w:cs="Arial"/>
          <w:lang w:val="es-MX"/>
        </w:rPr>
        <w:t>los titulares de ambas dependencias, el doctor</w:t>
      </w:r>
      <w:r>
        <w:rPr>
          <w:rFonts w:ascii="Arial" w:hAnsi="Arial" w:cs="Arial"/>
          <w:lang w:val="es-MX"/>
        </w:rPr>
        <w:t xml:space="preserve"> Daniel Octavio Valdez Delgadillo y el </w:t>
      </w:r>
      <w:r w:rsidR="007F7F5F">
        <w:rPr>
          <w:rFonts w:ascii="Arial" w:hAnsi="Arial" w:cs="Arial"/>
          <w:lang w:val="es-MX"/>
        </w:rPr>
        <w:t>licenciado Miguel Ángel Mora Marrufo, rector de la UABC y presidente de la CEDH, respectivamente.</w:t>
      </w:r>
      <w:r w:rsidR="002035F0">
        <w:rPr>
          <w:rFonts w:ascii="Arial" w:hAnsi="Arial" w:cs="Arial"/>
          <w:lang w:val="es-MX"/>
        </w:rPr>
        <w:t xml:space="preserve"> </w:t>
      </w:r>
    </w:p>
    <w:p w:rsidR="002035F0" w:rsidRPr="002035F0" w:rsidRDefault="002035F0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2035F0" w:rsidRDefault="002035F0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 través de este convenio las instituciones se comprometen a impulsar toda actividad relativa a la formación y actualización de recursos humanos, a la investigación y divulgación científica en las áreas de su interés, </w:t>
      </w:r>
      <w:r w:rsidR="00931302">
        <w:rPr>
          <w:rFonts w:ascii="Arial" w:hAnsi="Arial" w:cs="Arial"/>
          <w:lang w:val="es-MX"/>
        </w:rPr>
        <w:t>mediante el</w:t>
      </w:r>
      <w:r>
        <w:rPr>
          <w:rFonts w:ascii="Arial" w:hAnsi="Arial" w:cs="Arial"/>
          <w:lang w:val="es-MX"/>
        </w:rPr>
        <w:t xml:space="preserve"> desarrollo de propuestas de investigación alineada y aplicada; </w:t>
      </w:r>
      <w:r w:rsidR="00931302">
        <w:rPr>
          <w:rFonts w:ascii="Arial" w:hAnsi="Arial" w:cs="Arial"/>
          <w:lang w:val="es-MX"/>
        </w:rPr>
        <w:t xml:space="preserve">además de la </w:t>
      </w:r>
      <w:r>
        <w:rPr>
          <w:rFonts w:ascii="Arial" w:hAnsi="Arial" w:cs="Arial"/>
          <w:lang w:val="es-MX"/>
        </w:rPr>
        <w:t>promoción de actividades científicas y culturales como cursos, conferencias, seminarios, entre otros.</w:t>
      </w:r>
    </w:p>
    <w:p w:rsidR="002035F0" w:rsidRPr="002035F0" w:rsidRDefault="002035F0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637BF6" w:rsidRDefault="002035F0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 se comprometen a la realización conjunta de proyectos y acciones de innovación y desarrollo tecnológico; promoción, difusión, educación y divulgación de actividades que fortalezcan la cultura de respeto a los Derechos Humanos</w:t>
      </w:r>
      <w:r w:rsidR="00637BF6">
        <w:rPr>
          <w:rFonts w:ascii="Arial" w:hAnsi="Arial" w:cs="Arial"/>
          <w:lang w:val="es-MX"/>
        </w:rPr>
        <w:t>; así como desarrollo de proyectos de vinculación en alguna o varias modalidades de estancia para los estudiantes universitarios.</w:t>
      </w:r>
    </w:p>
    <w:p w:rsidR="00637BF6" w:rsidRPr="00637BF6" w:rsidRDefault="00637BF6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2035F0" w:rsidRDefault="00637BF6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Asimismo, se establece la integración del Grupo Permanente de Coordinación en el que participarán personal de la UABC y de la CEDH, el cual tendrá como facultad coordinar la elaboración de programas específicos de trabajo, de acuerdo a las estructuras y políticas de las ambas instituciones. </w:t>
      </w:r>
    </w:p>
    <w:p w:rsidR="00F43B7A" w:rsidRPr="00F43B7A" w:rsidRDefault="00F43B7A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43B7A" w:rsidRDefault="00F43B7A" w:rsidP="00F43B7A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2035F0">
        <w:rPr>
          <w:rFonts w:ascii="Arial" w:hAnsi="Arial" w:cs="Arial"/>
          <w:spacing w:val="-4"/>
          <w:lang w:val="es-MX"/>
        </w:rPr>
        <w:t>El rector indicó que la UABC se ocupa de defender los derechos humanos dentro y fuera de la institución, pero que además se anticipa en la planeación de las acciones que involucren este tema. “</w:t>
      </w:r>
      <w:r w:rsidRPr="002035F0">
        <w:rPr>
          <w:rFonts w:ascii="Arial" w:hAnsi="Arial" w:cs="Arial"/>
          <w:spacing w:val="-4"/>
          <w:lang w:val="es-MX"/>
        </w:rPr>
        <w:t>Esto habla de la madurez de nuestra institución, del país y del mundo, esta pandemia nos va a dejar esta marca, tenemos que voltear a ver cómo le ayudamos a los demás</w:t>
      </w:r>
      <w:r w:rsidRPr="002035F0">
        <w:rPr>
          <w:rFonts w:ascii="Arial" w:hAnsi="Arial" w:cs="Arial"/>
          <w:spacing w:val="-4"/>
          <w:lang w:val="es-MX"/>
        </w:rPr>
        <w:t xml:space="preserve">. </w:t>
      </w:r>
      <w:r w:rsidRPr="002035F0">
        <w:rPr>
          <w:rFonts w:ascii="Arial" w:hAnsi="Arial" w:cs="Arial"/>
          <w:spacing w:val="-4"/>
          <w:lang w:val="es-MX"/>
        </w:rPr>
        <w:t>Estamos obligados a quitar esas brechas de desigualdad que existen y que a veces son muy profundas</w:t>
      </w:r>
      <w:r w:rsidRPr="002035F0">
        <w:rPr>
          <w:rFonts w:ascii="Arial" w:hAnsi="Arial" w:cs="Arial"/>
          <w:spacing w:val="-4"/>
          <w:lang w:val="es-MX"/>
        </w:rPr>
        <w:t>”,</w:t>
      </w:r>
      <w:r>
        <w:rPr>
          <w:rFonts w:ascii="Arial" w:hAnsi="Arial" w:cs="Arial"/>
          <w:lang w:val="es-MX"/>
        </w:rPr>
        <w:t xml:space="preserve"> expresó.</w:t>
      </w:r>
    </w:p>
    <w:p w:rsidR="00F43B7A" w:rsidRPr="00F43B7A" w:rsidRDefault="00F43B7A" w:rsidP="00F43B7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43B7A" w:rsidRDefault="00F43B7A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su parte, el licenciado Mora </w:t>
      </w:r>
      <w:r w:rsidR="0006765A">
        <w:rPr>
          <w:rFonts w:ascii="Arial" w:hAnsi="Arial" w:cs="Arial"/>
          <w:lang w:val="es-MX"/>
        </w:rPr>
        <w:t xml:space="preserve">Marrufo indicó que </w:t>
      </w:r>
      <w:r w:rsidR="002035F0">
        <w:rPr>
          <w:rFonts w:ascii="Arial" w:hAnsi="Arial" w:cs="Arial"/>
          <w:lang w:val="es-MX"/>
        </w:rPr>
        <w:t>existen varios espacios que pueden fortalecer en conjunto la UABC y la CEDH</w:t>
      </w:r>
      <w:r w:rsidR="002035F0">
        <w:rPr>
          <w:rFonts w:ascii="Arial" w:hAnsi="Arial" w:cs="Arial"/>
          <w:lang w:val="es-MX"/>
        </w:rPr>
        <w:t xml:space="preserve">, así como que </w:t>
      </w:r>
      <w:r>
        <w:rPr>
          <w:rFonts w:ascii="Arial" w:hAnsi="Arial" w:cs="Arial"/>
          <w:lang w:val="es-MX"/>
        </w:rPr>
        <w:t>e</w:t>
      </w:r>
      <w:r w:rsidR="0006765A">
        <w:rPr>
          <w:rFonts w:ascii="Arial" w:hAnsi="Arial" w:cs="Arial"/>
          <w:lang w:val="es-MX"/>
        </w:rPr>
        <w:t xml:space="preserve">ste tipo de alianza </w:t>
      </w:r>
      <w:r>
        <w:rPr>
          <w:rFonts w:ascii="Arial" w:hAnsi="Arial" w:cs="Arial"/>
          <w:lang w:val="es-MX"/>
        </w:rPr>
        <w:t>resulta</w:t>
      </w:r>
      <w:r w:rsidR="0006765A">
        <w:rPr>
          <w:rFonts w:ascii="Arial" w:hAnsi="Arial" w:cs="Arial"/>
          <w:lang w:val="es-MX"/>
        </w:rPr>
        <w:t xml:space="preserve"> estratégica y simbólica porque </w:t>
      </w:r>
      <w:r>
        <w:rPr>
          <w:rFonts w:ascii="Arial" w:hAnsi="Arial" w:cs="Arial"/>
          <w:lang w:val="es-MX"/>
        </w:rPr>
        <w:t>tienen ciertas limitantes, entre ellas la presu</w:t>
      </w:r>
      <w:r w:rsidR="0006765A">
        <w:rPr>
          <w:rFonts w:ascii="Arial" w:hAnsi="Arial" w:cs="Arial"/>
          <w:lang w:val="es-MX"/>
        </w:rPr>
        <w:t>puestal</w:t>
      </w:r>
      <w:r>
        <w:rPr>
          <w:rFonts w:ascii="Arial" w:hAnsi="Arial" w:cs="Arial"/>
          <w:lang w:val="es-MX"/>
        </w:rPr>
        <w:t xml:space="preserve"> y </w:t>
      </w:r>
      <w:r w:rsidR="0006765A">
        <w:rPr>
          <w:rFonts w:ascii="Arial" w:hAnsi="Arial" w:cs="Arial"/>
          <w:lang w:val="es-MX"/>
        </w:rPr>
        <w:t>técnica</w:t>
      </w:r>
      <w:r>
        <w:rPr>
          <w:rFonts w:ascii="Arial" w:hAnsi="Arial" w:cs="Arial"/>
          <w:lang w:val="es-MX"/>
        </w:rPr>
        <w:t xml:space="preserve">, por lo que con </w:t>
      </w:r>
      <w:r w:rsidR="00931302">
        <w:rPr>
          <w:rFonts w:ascii="Arial" w:hAnsi="Arial" w:cs="Arial"/>
          <w:lang w:val="es-MX"/>
        </w:rPr>
        <w:t>el</w:t>
      </w:r>
      <w:bookmarkStart w:id="1" w:name="_GoBack"/>
      <w:bookmarkEnd w:id="1"/>
      <w:r>
        <w:rPr>
          <w:rFonts w:ascii="Arial" w:hAnsi="Arial" w:cs="Arial"/>
          <w:lang w:val="es-MX"/>
        </w:rPr>
        <w:t xml:space="preserve"> convenio se podrán </w:t>
      </w:r>
      <w:r w:rsidR="0006765A">
        <w:rPr>
          <w:rFonts w:ascii="Arial" w:hAnsi="Arial" w:cs="Arial"/>
          <w:lang w:val="es-MX"/>
        </w:rPr>
        <w:t>formar verdaderos investigadores</w:t>
      </w:r>
      <w:r w:rsidR="00E74AE5">
        <w:rPr>
          <w:rFonts w:ascii="Arial" w:hAnsi="Arial" w:cs="Arial"/>
          <w:lang w:val="es-MX"/>
        </w:rPr>
        <w:t xml:space="preserve"> y defensores de derechos humanos</w:t>
      </w:r>
      <w:r>
        <w:rPr>
          <w:rFonts w:ascii="Arial" w:hAnsi="Arial" w:cs="Arial"/>
          <w:lang w:val="es-MX"/>
        </w:rPr>
        <w:t>.</w:t>
      </w:r>
    </w:p>
    <w:p w:rsidR="0006765A" w:rsidRPr="002035F0" w:rsidRDefault="0006765A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F36C5" w:rsidRPr="003718D1" w:rsidRDefault="002035F0" w:rsidP="00637BF6">
      <w:pPr>
        <w:pStyle w:val="NormalWeb"/>
        <w:spacing w:before="0" w:after="0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lang w:val="es-MX"/>
        </w:rPr>
        <w:t>Fungieron como testigos en la firma del convenio general el doctor David Guadalupe Toledo Sarracino, coordinador general de Vinculación y Cooperación Académica de la UABC y el licenciado Jorge Álvaro Ochoa Orduño, secretario ejecutivo de la CEDH.</w:t>
      </w:r>
    </w:p>
    <w:p w:rsidR="003F36C5" w:rsidRPr="003718D1" w:rsidRDefault="003F36C5" w:rsidP="00034687">
      <w:pPr>
        <w:tabs>
          <w:tab w:val="left" w:pos="8832"/>
        </w:tabs>
        <w:rPr>
          <w:rFonts w:ascii="Arial" w:hAnsi="Arial" w:cs="Arial"/>
          <w:sz w:val="24"/>
          <w:szCs w:val="16"/>
        </w:rPr>
      </w:pPr>
    </w:p>
    <w:p w:rsidR="00034687" w:rsidRPr="003718D1" w:rsidRDefault="00034687" w:rsidP="007A0CE7">
      <w:pPr>
        <w:jc w:val="right"/>
        <w:rPr>
          <w:rFonts w:ascii="Arial" w:hAnsi="Arial" w:cs="Arial"/>
          <w:sz w:val="24"/>
          <w:szCs w:val="16"/>
        </w:rPr>
      </w:pPr>
    </w:p>
    <w:p w:rsidR="00E763D0" w:rsidRPr="00637BF6" w:rsidRDefault="00E763D0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637BF6">
        <w:rPr>
          <w:rFonts w:ascii="Arial" w:hAnsi="Arial" w:cs="Arial"/>
          <w:color w:val="FFFFFF" w:themeColor="background1"/>
          <w:sz w:val="16"/>
          <w:szCs w:val="16"/>
        </w:rPr>
        <w:t xml:space="preserve">Redacción: </w:t>
      </w:r>
      <w:r w:rsidR="00034687" w:rsidRPr="00637BF6">
        <w:rPr>
          <w:rFonts w:ascii="Arial" w:hAnsi="Arial" w:cs="Arial"/>
          <w:color w:val="FFFFFF" w:themeColor="background1"/>
          <w:sz w:val="16"/>
          <w:szCs w:val="16"/>
        </w:rPr>
        <w:t>Norma Angélica Gómez Bravo</w:t>
      </w:r>
    </w:p>
    <w:p w:rsidR="003718D1" w:rsidRPr="00637BF6" w:rsidRDefault="003718D1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637BF6">
        <w:rPr>
          <w:rFonts w:ascii="Arial" w:hAnsi="Arial" w:cs="Arial"/>
          <w:color w:val="FFFFFF" w:themeColor="background1"/>
          <w:sz w:val="16"/>
          <w:szCs w:val="16"/>
        </w:rPr>
        <w:t>Fotos: Jorge Armando Ruíz Velarde</w:t>
      </w:r>
    </w:p>
    <w:sectPr w:rsidR="003718D1" w:rsidRPr="00637BF6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599" w:rsidRDefault="00842599">
      <w:r>
        <w:separator/>
      </w:r>
    </w:p>
  </w:endnote>
  <w:endnote w:type="continuationSeparator" w:id="0">
    <w:p w:rsidR="00842599" w:rsidRDefault="0084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599" w:rsidRDefault="00842599">
      <w:r>
        <w:rPr>
          <w:color w:val="000000"/>
        </w:rPr>
        <w:separator/>
      </w:r>
    </w:p>
  </w:footnote>
  <w:footnote w:type="continuationSeparator" w:id="0">
    <w:p w:rsidR="00842599" w:rsidRDefault="00842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3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6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0"/>
  </w:num>
  <w:num w:numId="4">
    <w:abstractNumId w:val="24"/>
  </w:num>
  <w:num w:numId="5">
    <w:abstractNumId w:val="16"/>
  </w:num>
  <w:num w:numId="6">
    <w:abstractNumId w:val="29"/>
  </w:num>
  <w:num w:numId="7">
    <w:abstractNumId w:val="31"/>
  </w:num>
  <w:num w:numId="8">
    <w:abstractNumId w:val="2"/>
  </w:num>
  <w:num w:numId="9">
    <w:abstractNumId w:val="38"/>
  </w:num>
  <w:num w:numId="10">
    <w:abstractNumId w:val="35"/>
  </w:num>
  <w:num w:numId="11">
    <w:abstractNumId w:val="6"/>
  </w:num>
  <w:num w:numId="12">
    <w:abstractNumId w:val="3"/>
  </w:num>
  <w:num w:numId="13">
    <w:abstractNumId w:val="21"/>
  </w:num>
  <w:num w:numId="14">
    <w:abstractNumId w:val="4"/>
  </w:num>
  <w:num w:numId="15">
    <w:abstractNumId w:val="37"/>
  </w:num>
  <w:num w:numId="16">
    <w:abstractNumId w:val="11"/>
  </w:num>
  <w:num w:numId="17">
    <w:abstractNumId w:val="23"/>
  </w:num>
  <w:num w:numId="18">
    <w:abstractNumId w:val="19"/>
  </w:num>
  <w:num w:numId="19">
    <w:abstractNumId w:val="15"/>
  </w:num>
  <w:num w:numId="20">
    <w:abstractNumId w:val="23"/>
  </w:num>
  <w:num w:numId="21">
    <w:abstractNumId w:val="26"/>
  </w:num>
  <w:num w:numId="22">
    <w:abstractNumId w:val="8"/>
  </w:num>
  <w:num w:numId="23">
    <w:abstractNumId w:val="27"/>
  </w:num>
  <w:num w:numId="24">
    <w:abstractNumId w:val="39"/>
  </w:num>
  <w:num w:numId="25">
    <w:abstractNumId w:val="13"/>
  </w:num>
  <w:num w:numId="26">
    <w:abstractNumId w:val="14"/>
  </w:num>
  <w:num w:numId="27">
    <w:abstractNumId w:val="17"/>
  </w:num>
  <w:num w:numId="28">
    <w:abstractNumId w:val="36"/>
  </w:num>
  <w:num w:numId="29">
    <w:abstractNumId w:val="5"/>
  </w:num>
  <w:num w:numId="30">
    <w:abstractNumId w:val="34"/>
  </w:num>
  <w:num w:numId="31">
    <w:abstractNumId w:val="12"/>
  </w:num>
  <w:num w:numId="32">
    <w:abstractNumId w:val="1"/>
  </w:num>
  <w:num w:numId="33">
    <w:abstractNumId w:val="30"/>
  </w:num>
  <w:num w:numId="34">
    <w:abstractNumId w:val="9"/>
  </w:num>
  <w:num w:numId="35">
    <w:abstractNumId w:val="18"/>
  </w:num>
  <w:num w:numId="36">
    <w:abstractNumId w:val="25"/>
  </w:num>
  <w:num w:numId="37">
    <w:abstractNumId w:val="22"/>
  </w:num>
  <w:num w:numId="38">
    <w:abstractNumId w:val="0"/>
  </w:num>
  <w:num w:numId="39">
    <w:abstractNumId w:val="7"/>
  </w:num>
  <w:num w:numId="40">
    <w:abstractNumId w:val="32"/>
  </w:num>
  <w:num w:numId="4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5ACC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EC632-92B5-440F-8F49-61B518FD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467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5</cp:revision>
  <cp:lastPrinted>2020-03-12T17:46:00Z</cp:lastPrinted>
  <dcterms:created xsi:type="dcterms:W3CDTF">2020-10-07T21:45:00Z</dcterms:created>
  <dcterms:modified xsi:type="dcterms:W3CDTF">2020-10-08T00:44:00Z</dcterms:modified>
</cp:coreProperties>
</file>