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97572F">
        <w:rPr>
          <w:rFonts w:ascii="Arial" w:hAnsi="Arial" w:cs="Arial"/>
          <w:b/>
          <w:sz w:val="24"/>
          <w:szCs w:val="24"/>
        </w:rPr>
        <w:t>5</w:t>
      </w:r>
      <w:r w:rsidR="007333D2">
        <w:rPr>
          <w:rFonts w:ascii="Arial" w:hAnsi="Arial" w:cs="Arial"/>
          <w:b/>
          <w:sz w:val="24"/>
          <w:szCs w:val="24"/>
        </w:rPr>
        <w:t>3</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3E6E42" w:rsidRPr="00673954" w:rsidRDefault="003E6E42" w:rsidP="00C03697">
      <w:pPr>
        <w:pStyle w:val="NormalWeb"/>
        <w:shd w:val="clear" w:color="auto" w:fill="FFFFFF"/>
        <w:spacing w:before="0" w:after="0"/>
        <w:jc w:val="center"/>
        <w:rPr>
          <w:rFonts w:ascii="Arial" w:hAnsi="Arial" w:cs="Arial"/>
          <w:b/>
          <w:bCs/>
          <w:color w:val="222222"/>
          <w:spacing w:val="-4"/>
          <w:sz w:val="16"/>
          <w:szCs w:val="16"/>
          <w:lang w:val="es-MX"/>
        </w:rPr>
      </w:pPr>
    </w:p>
    <w:p w:rsidR="00673954" w:rsidRPr="00673954" w:rsidRDefault="00673954" w:rsidP="00673954">
      <w:pPr>
        <w:shd w:val="clear" w:color="auto" w:fill="FFFFFF"/>
        <w:suppressAutoHyphens w:val="0"/>
        <w:autoSpaceDN/>
        <w:jc w:val="center"/>
        <w:textAlignment w:val="auto"/>
        <w:rPr>
          <w:rFonts w:ascii="Arial" w:hAnsi="Arial" w:cs="Arial"/>
          <w:b/>
          <w:bCs/>
          <w:color w:val="222222"/>
          <w:spacing w:val="-4"/>
          <w:sz w:val="35"/>
          <w:szCs w:val="35"/>
        </w:rPr>
      </w:pPr>
      <w:r w:rsidRPr="00673954">
        <w:rPr>
          <w:rFonts w:ascii="Arial" w:hAnsi="Arial" w:cs="Arial"/>
          <w:b/>
          <w:bCs/>
          <w:color w:val="222222"/>
          <w:spacing w:val="-4"/>
          <w:sz w:val="35"/>
          <w:szCs w:val="35"/>
        </w:rPr>
        <w:t>Cumple UABC el 100% de sus obligaciones en Transparencia</w:t>
      </w:r>
    </w:p>
    <w:p w:rsidR="00673954" w:rsidRPr="007333D2" w:rsidRDefault="00673954" w:rsidP="00673954">
      <w:pPr>
        <w:shd w:val="clear" w:color="auto" w:fill="FFFFFF"/>
        <w:suppressAutoHyphens w:val="0"/>
        <w:autoSpaceDN/>
        <w:textAlignment w:val="auto"/>
        <w:rPr>
          <w:rFonts w:ascii="Arial" w:hAnsi="Arial" w:cs="Arial"/>
          <w:b/>
          <w:bCs/>
          <w:color w:val="222222"/>
          <w:sz w:val="16"/>
          <w:szCs w:val="16"/>
        </w:rPr>
      </w:pPr>
    </w:p>
    <w:p w:rsidR="007333D2" w:rsidRPr="007333D2" w:rsidRDefault="007333D2" w:rsidP="007333D2">
      <w:pPr>
        <w:pStyle w:val="Prrafodelista"/>
        <w:numPr>
          <w:ilvl w:val="0"/>
          <w:numId w:val="42"/>
        </w:numPr>
        <w:shd w:val="clear" w:color="auto" w:fill="FFFFFF"/>
        <w:suppressAutoHyphens w:val="0"/>
        <w:autoSpaceDN/>
        <w:ind w:left="284" w:hanging="284"/>
        <w:textAlignment w:val="auto"/>
        <w:rPr>
          <w:rFonts w:ascii="Arial" w:hAnsi="Arial" w:cs="Arial"/>
          <w:bCs/>
          <w:color w:val="222222"/>
          <w:sz w:val="24"/>
          <w:szCs w:val="24"/>
        </w:rPr>
      </w:pPr>
      <w:r w:rsidRPr="007333D2">
        <w:rPr>
          <w:rFonts w:ascii="Arial" w:hAnsi="Arial" w:cs="Arial"/>
          <w:bCs/>
          <w:color w:val="222222"/>
          <w:sz w:val="24"/>
          <w:szCs w:val="24"/>
        </w:rPr>
        <w:t>De acuerdo a los resultados presentados por el ITAIPBC.</w:t>
      </w:r>
    </w:p>
    <w:p w:rsidR="00673954" w:rsidRPr="007333D2" w:rsidRDefault="00673954" w:rsidP="00673954">
      <w:pPr>
        <w:shd w:val="clear" w:color="auto" w:fill="FFFFFF"/>
        <w:suppressAutoHyphens w:val="0"/>
        <w:autoSpaceDN/>
        <w:textAlignment w:val="auto"/>
        <w:rPr>
          <w:rFonts w:ascii="Arial" w:hAnsi="Arial" w:cs="Arial"/>
          <w:b/>
          <w:bCs/>
          <w:color w:val="222222"/>
          <w:sz w:val="16"/>
          <w:szCs w:val="16"/>
        </w:rPr>
      </w:pPr>
    </w:p>
    <w:p w:rsidR="003C2B08" w:rsidRDefault="003C2B08" w:rsidP="003C2B08">
      <w:pPr>
        <w:shd w:val="clear" w:color="auto" w:fill="FFFFFF"/>
        <w:autoSpaceDN/>
        <w:jc w:val="both"/>
        <w:textAlignment w:val="auto"/>
        <w:rPr>
          <w:rFonts w:ascii="Arial" w:hAnsi="Arial" w:cs="Arial"/>
          <w:color w:val="222222"/>
          <w:sz w:val="24"/>
          <w:szCs w:val="24"/>
        </w:rPr>
      </w:pPr>
      <w:r w:rsidRPr="003C2B08">
        <w:rPr>
          <w:rFonts w:ascii="Arial" w:hAnsi="Arial" w:cs="Arial"/>
          <w:b/>
          <w:color w:val="222222"/>
          <w:sz w:val="24"/>
          <w:szCs w:val="24"/>
        </w:rPr>
        <w:t xml:space="preserve">Mexicali, B.C., </w:t>
      </w:r>
      <w:r w:rsidR="00745345">
        <w:rPr>
          <w:rFonts w:ascii="Arial" w:hAnsi="Arial" w:cs="Arial"/>
          <w:b/>
          <w:color w:val="222222"/>
          <w:sz w:val="24"/>
          <w:szCs w:val="24"/>
        </w:rPr>
        <w:t>sábado 10</w:t>
      </w:r>
      <w:r w:rsidRPr="003C2B08">
        <w:rPr>
          <w:rFonts w:ascii="Arial" w:hAnsi="Arial" w:cs="Arial"/>
          <w:b/>
          <w:color w:val="222222"/>
          <w:sz w:val="24"/>
          <w:szCs w:val="24"/>
        </w:rPr>
        <w:t xml:space="preserve"> de octubre de 2020</w:t>
      </w:r>
      <w:r w:rsidRPr="003C2B08">
        <w:rPr>
          <w:rFonts w:ascii="Arial" w:hAnsi="Arial" w:cs="Arial"/>
          <w:color w:val="222222"/>
          <w:sz w:val="24"/>
          <w:szCs w:val="24"/>
        </w:rPr>
        <w:t xml:space="preserve">.- La Universidad Autónoma de Baja California (UABC) </w:t>
      </w:r>
      <w:r>
        <w:rPr>
          <w:rFonts w:ascii="Arial" w:hAnsi="Arial" w:cs="Arial"/>
          <w:color w:val="222222"/>
          <w:sz w:val="24"/>
          <w:szCs w:val="24"/>
        </w:rPr>
        <w:t xml:space="preserve">cumplió con el 100% en la </w:t>
      </w:r>
      <w:r w:rsidRPr="00673954">
        <w:rPr>
          <w:rFonts w:ascii="Arial" w:hAnsi="Arial" w:cs="Arial"/>
          <w:bCs/>
          <w:color w:val="222222"/>
          <w:sz w:val="24"/>
          <w:szCs w:val="24"/>
        </w:rPr>
        <w:t>verificación virtual de oficio de las Obligaciones de Transparencia del</w:t>
      </w:r>
      <w:r w:rsidRPr="00673954">
        <w:rPr>
          <w:rFonts w:ascii="Arial" w:hAnsi="Arial" w:cs="Arial"/>
          <w:color w:val="222222"/>
          <w:sz w:val="24"/>
          <w:szCs w:val="24"/>
        </w:rPr>
        <w:t> </w:t>
      </w:r>
      <w:r w:rsidRPr="00673954">
        <w:rPr>
          <w:rFonts w:ascii="Arial" w:hAnsi="Arial" w:cs="Arial"/>
          <w:bCs/>
          <w:color w:val="222222"/>
          <w:sz w:val="24"/>
          <w:szCs w:val="24"/>
        </w:rPr>
        <w:t>segundo trimestre del ejercicio fiscal 2020</w:t>
      </w:r>
      <w:r>
        <w:rPr>
          <w:rFonts w:ascii="Arial" w:hAnsi="Arial" w:cs="Arial"/>
          <w:bCs/>
          <w:color w:val="222222"/>
          <w:sz w:val="24"/>
          <w:szCs w:val="24"/>
        </w:rPr>
        <w:t xml:space="preserve"> presentado en sesión pública del I</w:t>
      </w:r>
      <w:r w:rsidR="00673954" w:rsidRPr="00673954">
        <w:rPr>
          <w:rFonts w:ascii="Arial" w:hAnsi="Arial" w:cs="Arial"/>
          <w:color w:val="222222"/>
          <w:sz w:val="24"/>
          <w:szCs w:val="24"/>
        </w:rPr>
        <w:t>nstituto de Transparencia, Acceso a la Información Pública y Protección de Datos Personales del Estado de Baja California</w:t>
      </w:r>
      <w:r w:rsidR="005F0219">
        <w:rPr>
          <w:rFonts w:ascii="Arial" w:hAnsi="Arial" w:cs="Arial"/>
          <w:color w:val="222222"/>
          <w:sz w:val="24"/>
          <w:szCs w:val="24"/>
        </w:rPr>
        <w:t xml:space="preserve"> </w:t>
      </w:r>
      <w:r w:rsidR="005F0219" w:rsidRPr="00673954">
        <w:rPr>
          <w:rFonts w:ascii="Arial" w:hAnsi="Arial" w:cs="Arial"/>
          <w:color w:val="222222"/>
          <w:sz w:val="24"/>
          <w:szCs w:val="24"/>
        </w:rPr>
        <w:t>(ITAIPBC)</w:t>
      </w:r>
      <w:r>
        <w:rPr>
          <w:rFonts w:ascii="Arial" w:hAnsi="Arial" w:cs="Arial"/>
          <w:color w:val="222222"/>
          <w:sz w:val="24"/>
          <w:szCs w:val="24"/>
        </w:rPr>
        <w:t>.</w:t>
      </w:r>
    </w:p>
    <w:p w:rsidR="003C2B08" w:rsidRPr="005F0219" w:rsidRDefault="003C2B08" w:rsidP="003C2B08">
      <w:pPr>
        <w:shd w:val="clear" w:color="auto" w:fill="FFFFFF"/>
        <w:autoSpaceDN/>
        <w:jc w:val="both"/>
        <w:textAlignment w:val="auto"/>
        <w:rPr>
          <w:rFonts w:ascii="Arial" w:hAnsi="Arial" w:cs="Arial"/>
          <w:color w:val="222222"/>
          <w:sz w:val="16"/>
          <w:szCs w:val="16"/>
        </w:rPr>
      </w:pPr>
    </w:p>
    <w:p w:rsidR="00673954" w:rsidRDefault="003C2B08" w:rsidP="003C2B08">
      <w:pPr>
        <w:shd w:val="clear" w:color="auto" w:fill="FFFFFF"/>
        <w:autoSpaceDN/>
        <w:jc w:val="both"/>
        <w:textAlignment w:val="auto"/>
        <w:rPr>
          <w:rFonts w:ascii="Arial" w:hAnsi="Arial" w:cs="Arial"/>
          <w:sz w:val="24"/>
          <w:szCs w:val="24"/>
        </w:rPr>
      </w:pPr>
      <w:r>
        <w:rPr>
          <w:rFonts w:ascii="Arial" w:hAnsi="Arial" w:cs="Arial"/>
          <w:color w:val="222222"/>
          <w:sz w:val="24"/>
          <w:szCs w:val="24"/>
        </w:rPr>
        <w:t xml:space="preserve">En este sentido, la </w:t>
      </w:r>
      <w:r w:rsidR="005F0219" w:rsidRPr="00FE21BE">
        <w:rPr>
          <w:rFonts w:ascii="Arial" w:hAnsi="Arial" w:cs="Arial"/>
          <w:sz w:val="24"/>
          <w:szCs w:val="24"/>
        </w:rPr>
        <w:t>coordinadora de la Unidad de Transparencia y Acceso a la</w:t>
      </w:r>
      <w:r w:rsidR="005F0219">
        <w:rPr>
          <w:rFonts w:ascii="Arial" w:hAnsi="Arial" w:cs="Arial"/>
          <w:sz w:val="24"/>
          <w:szCs w:val="24"/>
        </w:rPr>
        <w:t xml:space="preserve"> Información Pública de la UABC,</w:t>
      </w:r>
      <w:r w:rsidR="005F0219">
        <w:rPr>
          <w:rFonts w:ascii="Arial" w:hAnsi="Arial" w:cs="Arial"/>
          <w:color w:val="222222"/>
          <w:sz w:val="24"/>
          <w:szCs w:val="24"/>
        </w:rPr>
        <w:t xml:space="preserve"> </w:t>
      </w:r>
      <w:r w:rsidR="005F0219" w:rsidRPr="006244A5">
        <w:rPr>
          <w:rFonts w:ascii="Arial" w:hAnsi="Arial" w:cs="Arial"/>
          <w:sz w:val="24"/>
          <w:szCs w:val="24"/>
        </w:rPr>
        <w:t xml:space="preserve">maestra </w:t>
      </w:r>
      <w:r w:rsidR="005F0219" w:rsidRPr="00FE21BE">
        <w:rPr>
          <w:rFonts w:ascii="Arial" w:hAnsi="Arial" w:cs="Arial"/>
          <w:sz w:val="24"/>
          <w:szCs w:val="24"/>
        </w:rPr>
        <w:t xml:space="preserve">Karina Cárdenas Rodríguez, </w:t>
      </w:r>
      <w:r w:rsidR="005F0219">
        <w:rPr>
          <w:rFonts w:ascii="Arial" w:hAnsi="Arial" w:cs="Arial"/>
          <w:sz w:val="24"/>
          <w:szCs w:val="24"/>
        </w:rPr>
        <w:t xml:space="preserve">indicó que las obligaciones de transparencia competen en poner a </w:t>
      </w:r>
      <w:r w:rsidR="005F0219" w:rsidRPr="00673954">
        <w:rPr>
          <w:rFonts w:ascii="Arial" w:hAnsi="Arial" w:cs="Arial"/>
          <w:color w:val="222222"/>
          <w:sz w:val="24"/>
          <w:szCs w:val="24"/>
        </w:rPr>
        <w:t>disposición de toda la sociedad, información de interés público en sus portales de internet y en la Plataforma Nacional de Transparencia.</w:t>
      </w:r>
    </w:p>
    <w:p w:rsidR="005F0219" w:rsidRPr="00673954" w:rsidRDefault="005F0219" w:rsidP="003C2B08">
      <w:pPr>
        <w:shd w:val="clear" w:color="auto" w:fill="FFFFFF"/>
        <w:autoSpaceDN/>
        <w:jc w:val="both"/>
        <w:textAlignment w:val="auto"/>
        <w:rPr>
          <w:rFonts w:ascii="Arial" w:hAnsi="Arial" w:cs="Arial"/>
          <w:color w:val="222222"/>
          <w:sz w:val="16"/>
          <w:szCs w:val="16"/>
        </w:rPr>
      </w:pPr>
    </w:p>
    <w:p w:rsidR="00673954" w:rsidRPr="00673954" w:rsidRDefault="005F0219" w:rsidP="003C2B08">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w:t>
      </w:r>
      <w:r w:rsidR="00673954" w:rsidRPr="00673954">
        <w:rPr>
          <w:rFonts w:ascii="Arial" w:hAnsi="Arial" w:cs="Arial"/>
          <w:color w:val="222222"/>
          <w:sz w:val="24"/>
          <w:szCs w:val="24"/>
        </w:rPr>
        <w:t>Bajo este contexto, la UABC en su carácter de sujeto obligado de forma trimestral</w:t>
      </w:r>
      <w:r>
        <w:rPr>
          <w:rFonts w:ascii="Arial" w:hAnsi="Arial" w:cs="Arial"/>
          <w:color w:val="222222"/>
          <w:sz w:val="24"/>
          <w:szCs w:val="24"/>
        </w:rPr>
        <w:t>,</w:t>
      </w:r>
      <w:r w:rsidR="00673954" w:rsidRPr="00673954">
        <w:rPr>
          <w:rFonts w:ascii="Arial" w:hAnsi="Arial" w:cs="Arial"/>
          <w:color w:val="222222"/>
          <w:sz w:val="24"/>
          <w:szCs w:val="24"/>
        </w:rPr>
        <w:t xml:space="preserve"> realiza una actualización y carga de la información catalogada como de interés público, en la Plataforma Nacional de Transparencia; lo anterior, en apego y observancia a la Ley General de Transparencia y </w:t>
      </w:r>
      <w:r>
        <w:rPr>
          <w:rFonts w:ascii="Arial" w:hAnsi="Arial" w:cs="Arial"/>
          <w:color w:val="222222"/>
          <w:sz w:val="24"/>
          <w:szCs w:val="24"/>
        </w:rPr>
        <w:t>Acceso a la Información Pública”, manifestó la coordinadora.</w:t>
      </w:r>
    </w:p>
    <w:p w:rsidR="00673954" w:rsidRPr="00673954" w:rsidRDefault="00673954" w:rsidP="003C2B08">
      <w:pPr>
        <w:shd w:val="clear" w:color="auto" w:fill="FFFFFF"/>
        <w:autoSpaceDN/>
        <w:jc w:val="both"/>
        <w:textAlignment w:val="auto"/>
        <w:rPr>
          <w:rFonts w:ascii="Arial" w:hAnsi="Arial" w:cs="Arial"/>
          <w:color w:val="222222"/>
          <w:sz w:val="16"/>
          <w:szCs w:val="16"/>
        </w:rPr>
      </w:pPr>
    </w:p>
    <w:p w:rsidR="00673954" w:rsidRPr="00673954" w:rsidRDefault="005F0219" w:rsidP="003C2B08">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Agregó que el </w:t>
      </w:r>
      <w:r w:rsidR="00673954" w:rsidRPr="00673954">
        <w:rPr>
          <w:rFonts w:ascii="Arial" w:hAnsi="Arial" w:cs="Arial"/>
          <w:color w:val="222222"/>
          <w:sz w:val="24"/>
          <w:szCs w:val="24"/>
        </w:rPr>
        <w:t xml:space="preserve">resultado obtenido por la UABC es una prueba fehaciente de que la máxima casa de estudios cumple con los estándares establecidos tanto por las leyes sustantivas como adjetivas en materia de transparencia. </w:t>
      </w:r>
      <w:r>
        <w:rPr>
          <w:rFonts w:ascii="Arial" w:hAnsi="Arial" w:cs="Arial"/>
          <w:color w:val="222222"/>
          <w:sz w:val="24"/>
          <w:szCs w:val="24"/>
        </w:rPr>
        <w:t>“</w:t>
      </w:r>
      <w:r w:rsidR="00673954" w:rsidRPr="00673954">
        <w:rPr>
          <w:rFonts w:ascii="Arial" w:hAnsi="Arial" w:cs="Arial"/>
          <w:color w:val="222222"/>
          <w:sz w:val="24"/>
          <w:szCs w:val="24"/>
        </w:rPr>
        <w:t>El resultado de la verificación se otorga después de haber sido objeto de un minucioso estudio y análisis por parte de la máxima autoridad revisora en el Estado, que culminó con la obtención del porcentaje más alto de cumplimiento, esto es, un 100%</w:t>
      </w:r>
      <w:r>
        <w:rPr>
          <w:rFonts w:ascii="Arial" w:hAnsi="Arial" w:cs="Arial"/>
          <w:color w:val="222222"/>
          <w:sz w:val="24"/>
          <w:szCs w:val="24"/>
        </w:rPr>
        <w:t>”, explicó</w:t>
      </w:r>
      <w:r w:rsidR="00673954" w:rsidRPr="00673954">
        <w:rPr>
          <w:rFonts w:ascii="Arial" w:hAnsi="Arial" w:cs="Arial"/>
          <w:color w:val="222222"/>
          <w:sz w:val="24"/>
          <w:szCs w:val="24"/>
        </w:rPr>
        <w:t>.</w:t>
      </w:r>
    </w:p>
    <w:p w:rsidR="00673954" w:rsidRPr="00673954" w:rsidRDefault="00673954" w:rsidP="003C2B08">
      <w:pPr>
        <w:shd w:val="clear" w:color="auto" w:fill="FFFFFF"/>
        <w:autoSpaceDN/>
        <w:jc w:val="both"/>
        <w:textAlignment w:val="auto"/>
        <w:rPr>
          <w:rFonts w:ascii="Arial" w:hAnsi="Arial" w:cs="Arial"/>
          <w:color w:val="222222"/>
          <w:sz w:val="16"/>
          <w:szCs w:val="16"/>
        </w:rPr>
      </w:pPr>
      <w:r w:rsidRPr="00673954">
        <w:rPr>
          <w:rFonts w:ascii="Arial" w:hAnsi="Arial" w:cs="Arial"/>
          <w:color w:val="222222"/>
          <w:sz w:val="16"/>
          <w:szCs w:val="16"/>
        </w:rPr>
        <w:t> </w:t>
      </w:r>
    </w:p>
    <w:p w:rsidR="00673954" w:rsidRPr="00673954" w:rsidRDefault="007333D2" w:rsidP="003C2B08">
      <w:pPr>
        <w:shd w:val="clear" w:color="auto" w:fill="FFFFFF"/>
        <w:autoSpaceDN/>
        <w:jc w:val="both"/>
        <w:textAlignment w:val="auto"/>
        <w:rPr>
          <w:rFonts w:ascii="Arial" w:hAnsi="Arial" w:cs="Arial"/>
          <w:color w:val="222222"/>
          <w:sz w:val="24"/>
          <w:szCs w:val="24"/>
        </w:rPr>
      </w:pPr>
      <w:r w:rsidRPr="007333D2">
        <w:rPr>
          <w:rFonts w:ascii="Arial" w:hAnsi="Arial" w:cs="Arial"/>
          <w:bCs/>
          <w:color w:val="222222"/>
          <w:sz w:val="24"/>
          <w:szCs w:val="24"/>
        </w:rPr>
        <w:t>C</w:t>
      </w:r>
      <w:r>
        <w:rPr>
          <w:rFonts w:ascii="Arial" w:hAnsi="Arial" w:cs="Arial"/>
          <w:bCs/>
          <w:color w:val="222222"/>
          <w:sz w:val="24"/>
          <w:szCs w:val="24"/>
        </w:rPr>
        <w:t xml:space="preserve">onforme a lo </w:t>
      </w:r>
      <w:r w:rsidRPr="00673954">
        <w:rPr>
          <w:rFonts w:ascii="Arial" w:hAnsi="Arial" w:cs="Arial"/>
          <w:color w:val="222222"/>
          <w:sz w:val="24"/>
          <w:szCs w:val="24"/>
        </w:rPr>
        <w:t>establecido por la Ley de Transparencia</w:t>
      </w:r>
      <w:r>
        <w:rPr>
          <w:rFonts w:ascii="Arial" w:hAnsi="Arial" w:cs="Arial"/>
          <w:color w:val="222222"/>
          <w:sz w:val="24"/>
          <w:szCs w:val="24"/>
        </w:rPr>
        <w:t xml:space="preserve">, la UABC debe publicar </w:t>
      </w:r>
      <w:r w:rsidR="00673954" w:rsidRPr="00673954">
        <w:rPr>
          <w:rFonts w:ascii="Arial" w:hAnsi="Arial" w:cs="Arial"/>
          <w:color w:val="222222"/>
          <w:sz w:val="24"/>
          <w:szCs w:val="24"/>
        </w:rPr>
        <w:t>información de interés público relacionada con su marco normativo, estructura orgánica, facultades, metas y objetivos, indicadores, directorio, remuneraciones, contrataciones, información financiera, curricular, trámites y servicios, licitaciones, adjudicaciones, convenios, planes y programas de estudio, convocatorias, entre otros.</w:t>
      </w:r>
    </w:p>
    <w:p w:rsidR="00673954" w:rsidRPr="00673954" w:rsidRDefault="00673954" w:rsidP="003C2B08">
      <w:pPr>
        <w:shd w:val="clear" w:color="auto" w:fill="FFFFFF"/>
        <w:autoSpaceDN/>
        <w:jc w:val="both"/>
        <w:textAlignment w:val="auto"/>
        <w:rPr>
          <w:rFonts w:ascii="Arial" w:hAnsi="Arial" w:cs="Arial"/>
          <w:color w:val="222222"/>
          <w:sz w:val="16"/>
          <w:szCs w:val="16"/>
        </w:rPr>
      </w:pPr>
      <w:r w:rsidRPr="00673954">
        <w:rPr>
          <w:rFonts w:ascii="Arial" w:hAnsi="Arial" w:cs="Arial"/>
          <w:color w:val="222222"/>
          <w:sz w:val="16"/>
          <w:szCs w:val="16"/>
        </w:rPr>
        <w:t> </w:t>
      </w:r>
    </w:p>
    <w:p w:rsidR="00673954" w:rsidRPr="00673954" w:rsidRDefault="007333D2" w:rsidP="003C2B08">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Cabe mencionar que en </w:t>
      </w:r>
      <w:r w:rsidR="00673954" w:rsidRPr="00673954">
        <w:rPr>
          <w:rFonts w:ascii="Arial" w:hAnsi="Arial" w:cs="Arial"/>
          <w:color w:val="222222"/>
          <w:sz w:val="24"/>
          <w:szCs w:val="24"/>
        </w:rPr>
        <w:t>201</w:t>
      </w:r>
      <w:r w:rsidR="009F7187">
        <w:rPr>
          <w:rFonts w:ascii="Arial" w:hAnsi="Arial" w:cs="Arial"/>
          <w:color w:val="222222"/>
          <w:sz w:val="24"/>
          <w:szCs w:val="24"/>
        </w:rPr>
        <w:t>7</w:t>
      </w:r>
      <w:r>
        <w:rPr>
          <w:rFonts w:ascii="Arial" w:hAnsi="Arial" w:cs="Arial"/>
          <w:color w:val="222222"/>
          <w:sz w:val="24"/>
          <w:szCs w:val="24"/>
        </w:rPr>
        <w:t xml:space="preserve"> la universidad</w:t>
      </w:r>
      <w:r w:rsidR="00673954" w:rsidRPr="00673954">
        <w:rPr>
          <w:rFonts w:ascii="Arial" w:hAnsi="Arial" w:cs="Arial"/>
          <w:color w:val="222222"/>
          <w:sz w:val="24"/>
          <w:szCs w:val="24"/>
        </w:rPr>
        <w:t xml:space="preserve"> fue galardonada por el Instituto Nacional de Transparencia, Acceso a la Información Pública y Protección de Datos Personales (INAI) como el primer sujeto obligado en el país en dar cumplimiento a las obligaciones de Transparencia, establecidas en la Ley General de Transparencia y Acceso a la Información Pública.</w:t>
      </w:r>
    </w:p>
    <w:p w:rsidR="00673954" w:rsidRPr="00673954" w:rsidRDefault="00673954" w:rsidP="003C2B08">
      <w:pPr>
        <w:shd w:val="clear" w:color="auto" w:fill="FFFFFF"/>
        <w:autoSpaceDN/>
        <w:jc w:val="both"/>
        <w:textAlignment w:val="auto"/>
        <w:rPr>
          <w:rFonts w:ascii="Arial" w:hAnsi="Arial" w:cs="Arial"/>
          <w:color w:val="222222"/>
          <w:sz w:val="16"/>
          <w:szCs w:val="16"/>
        </w:rPr>
      </w:pPr>
      <w:r w:rsidRPr="00673954">
        <w:rPr>
          <w:rFonts w:ascii="Arial" w:hAnsi="Arial" w:cs="Arial"/>
          <w:color w:val="222222"/>
          <w:sz w:val="16"/>
          <w:szCs w:val="16"/>
        </w:rPr>
        <w:t> </w:t>
      </w:r>
    </w:p>
    <w:p w:rsidR="007333D2" w:rsidRDefault="007333D2" w:rsidP="003C2B08">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Además, en</w:t>
      </w:r>
      <w:r w:rsidR="00673954" w:rsidRPr="00673954">
        <w:rPr>
          <w:rFonts w:ascii="Arial" w:hAnsi="Arial" w:cs="Arial"/>
          <w:color w:val="222222"/>
          <w:sz w:val="24"/>
          <w:szCs w:val="24"/>
        </w:rPr>
        <w:t xml:space="preserve"> el ámbito local, la UABC es un referente en la implementación de buenas prácticas en materia de transparencia, no solo son los porcentajes de cumplimiento que </w:t>
      </w:r>
      <w:r>
        <w:rPr>
          <w:rFonts w:ascii="Arial" w:hAnsi="Arial" w:cs="Arial"/>
          <w:color w:val="222222"/>
          <w:sz w:val="24"/>
          <w:szCs w:val="24"/>
        </w:rPr>
        <w:t>ha reporta</w:t>
      </w:r>
      <w:r w:rsidR="00673954" w:rsidRPr="00673954">
        <w:rPr>
          <w:rFonts w:ascii="Arial" w:hAnsi="Arial" w:cs="Arial"/>
          <w:color w:val="222222"/>
          <w:sz w:val="24"/>
          <w:szCs w:val="24"/>
        </w:rPr>
        <w:t>do, sino también</w:t>
      </w:r>
      <w:r>
        <w:rPr>
          <w:rFonts w:ascii="Arial" w:hAnsi="Arial" w:cs="Arial"/>
          <w:color w:val="222222"/>
          <w:sz w:val="24"/>
          <w:szCs w:val="24"/>
        </w:rPr>
        <w:t xml:space="preserve"> por la impartición de</w:t>
      </w:r>
      <w:r w:rsidR="00673954" w:rsidRPr="00673954">
        <w:rPr>
          <w:rFonts w:ascii="Arial" w:hAnsi="Arial" w:cs="Arial"/>
          <w:color w:val="222222"/>
          <w:sz w:val="24"/>
          <w:szCs w:val="24"/>
        </w:rPr>
        <w:t xml:space="preserve"> cursos, foros, talleres, así como el </w:t>
      </w:r>
      <w:r w:rsidR="002B5037">
        <w:rPr>
          <w:rFonts w:ascii="Arial" w:hAnsi="Arial" w:cs="Arial"/>
          <w:color w:val="222222"/>
          <w:sz w:val="24"/>
          <w:szCs w:val="24"/>
        </w:rPr>
        <w:t>recientemente creado D</w:t>
      </w:r>
      <w:r w:rsidR="00673954" w:rsidRPr="00673954">
        <w:rPr>
          <w:rFonts w:ascii="Arial" w:hAnsi="Arial" w:cs="Arial"/>
          <w:color w:val="222222"/>
          <w:sz w:val="24"/>
          <w:szCs w:val="24"/>
        </w:rPr>
        <w:t xml:space="preserve">iplomado en protección de datos personales, </w:t>
      </w:r>
      <w:r w:rsidR="002B5037">
        <w:rPr>
          <w:rFonts w:ascii="Arial" w:hAnsi="Arial" w:cs="Arial"/>
          <w:color w:val="222222"/>
          <w:sz w:val="24"/>
          <w:szCs w:val="24"/>
        </w:rPr>
        <w:t>que finalizó</w:t>
      </w:r>
      <w:r w:rsidR="00673954" w:rsidRPr="00673954">
        <w:rPr>
          <w:rFonts w:ascii="Arial" w:hAnsi="Arial" w:cs="Arial"/>
          <w:color w:val="222222"/>
          <w:sz w:val="24"/>
          <w:szCs w:val="24"/>
        </w:rPr>
        <w:t xml:space="preserve"> en diciembre de 2019, y el Diplomado en Gestión Documental inaugurado en el mes de octubre de 2020</w:t>
      </w:r>
      <w:r>
        <w:rPr>
          <w:rFonts w:ascii="Arial" w:hAnsi="Arial" w:cs="Arial"/>
          <w:color w:val="222222"/>
          <w:sz w:val="24"/>
          <w:szCs w:val="24"/>
        </w:rPr>
        <w:t>.</w:t>
      </w:r>
    </w:p>
    <w:p w:rsidR="007333D2" w:rsidRPr="007333D2" w:rsidRDefault="007333D2" w:rsidP="003C2B08">
      <w:pPr>
        <w:shd w:val="clear" w:color="auto" w:fill="FFFFFF"/>
        <w:autoSpaceDN/>
        <w:jc w:val="both"/>
        <w:textAlignment w:val="auto"/>
        <w:rPr>
          <w:rFonts w:ascii="Arial" w:hAnsi="Arial" w:cs="Arial"/>
          <w:color w:val="222222"/>
          <w:sz w:val="16"/>
          <w:szCs w:val="16"/>
        </w:rPr>
      </w:pPr>
    </w:p>
    <w:p w:rsidR="00673954" w:rsidRDefault="007333D2" w:rsidP="003C2B08">
      <w:pPr>
        <w:shd w:val="clear" w:color="auto" w:fill="FFFFFF"/>
        <w:autoSpaceDN/>
        <w:jc w:val="both"/>
        <w:textAlignment w:val="auto"/>
        <w:rPr>
          <w:rFonts w:ascii="Arial" w:hAnsi="Arial" w:cs="Arial"/>
          <w:color w:val="212121"/>
          <w:sz w:val="24"/>
          <w:szCs w:val="24"/>
        </w:rPr>
      </w:pPr>
      <w:r>
        <w:rPr>
          <w:rFonts w:ascii="Arial" w:hAnsi="Arial" w:cs="Arial"/>
          <w:color w:val="222222"/>
          <w:sz w:val="24"/>
          <w:szCs w:val="24"/>
        </w:rPr>
        <w:t>“A</w:t>
      </w:r>
      <w:r w:rsidR="00673954" w:rsidRPr="00673954">
        <w:rPr>
          <w:rFonts w:ascii="Arial" w:hAnsi="Arial" w:cs="Arial"/>
          <w:color w:val="222222"/>
          <w:sz w:val="24"/>
          <w:szCs w:val="24"/>
        </w:rPr>
        <w:t>mbas ofertas educativas han sido las primeras de su clase en Baja California y tienen como objetivo ser semilleros de profesionistas en temas de mayor relevancia social, como son</w:t>
      </w:r>
      <w:r>
        <w:rPr>
          <w:rFonts w:ascii="Arial" w:hAnsi="Arial" w:cs="Arial"/>
          <w:color w:val="222222"/>
          <w:sz w:val="24"/>
          <w:szCs w:val="24"/>
        </w:rPr>
        <w:t>:</w:t>
      </w:r>
      <w:r w:rsidR="00673954" w:rsidRPr="00673954">
        <w:rPr>
          <w:rFonts w:ascii="Arial" w:hAnsi="Arial" w:cs="Arial"/>
          <w:color w:val="222222"/>
          <w:sz w:val="24"/>
          <w:szCs w:val="24"/>
        </w:rPr>
        <w:t xml:space="preserve"> transparencia, protección de datos personales y gestión documental, conocida como la triada en la cual descansa </w:t>
      </w:r>
      <w:r w:rsidR="00673954" w:rsidRPr="00673954">
        <w:rPr>
          <w:rFonts w:ascii="Arial" w:hAnsi="Arial" w:cs="Arial"/>
          <w:color w:val="212121"/>
          <w:sz w:val="24"/>
          <w:szCs w:val="24"/>
        </w:rPr>
        <w:t>la participación ciudadana y la vigilancia del poder público</w:t>
      </w:r>
      <w:r>
        <w:rPr>
          <w:rFonts w:ascii="Arial" w:hAnsi="Arial" w:cs="Arial"/>
          <w:color w:val="212121"/>
          <w:sz w:val="24"/>
          <w:szCs w:val="24"/>
        </w:rPr>
        <w:t>”, señaló.</w:t>
      </w:r>
    </w:p>
    <w:p w:rsidR="007333D2" w:rsidRDefault="007333D2" w:rsidP="003C2B08">
      <w:pPr>
        <w:shd w:val="clear" w:color="auto" w:fill="FFFFFF"/>
        <w:autoSpaceDN/>
        <w:jc w:val="both"/>
        <w:textAlignment w:val="auto"/>
        <w:rPr>
          <w:rFonts w:ascii="Arial" w:hAnsi="Arial" w:cs="Arial"/>
          <w:color w:val="212121"/>
          <w:sz w:val="24"/>
          <w:szCs w:val="24"/>
        </w:rPr>
      </w:pPr>
    </w:p>
    <w:p w:rsidR="00673954" w:rsidRPr="00673954" w:rsidRDefault="00673954" w:rsidP="003C2B08">
      <w:pPr>
        <w:shd w:val="clear" w:color="auto" w:fill="FFFFFF"/>
        <w:autoSpaceDN/>
        <w:jc w:val="both"/>
        <w:textAlignment w:val="auto"/>
        <w:rPr>
          <w:rFonts w:ascii="Arial" w:hAnsi="Arial" w:cs="Arial"/>
          <w:color w:val="222222"/>
          <w:sz w:val="24"/>
          <w:szCs w:val="24"/>
        </w:rPr>
      </w:pPr>
    </w:p>
    <w:p w:rsidR="00673954" w:rsidRPr="00673954" w:rsidRDefault="007333D2" w:rsidP="003C2B08">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Para finalizar, la maestra Cárdenas Rodríguez destacó que </w:t>
      </w:r>
      <w:r w:rsidR="00673954" w:rsidRPr="00673954">
        <w:rPr>
          <w:rFonts w:ascii="Arial" w:hAnsi="Arial" w:cs="Arial"/>
          <w:color w:val="222222"/>
          <w:sz w:val="24"/>
          <w:szCs w:val="24"/>
        </w:rPr>
        <w:t>la UABC y el ITAIPBC han venido realizando actividades en conjunto en beneficio de la comunidad universitaria y sociedad en general, en un marco de respeto, colaboración y responsabilidades social.</w:t>
      </w:r>
    </w:p>
    <w:p w:rsidR="00673954" w:rsidRPr="00673954" w:rsidRDefault="00673954" w:rsidP="00673954">
      <w:pPr>
        <w:shd w:val="clear" w:color="auto" w:fill="FFFFFF"/>
        <w:suppressAutoHyphens w:val="0"/>
        <w:autoSpaceDN/>
        <w:textAlignment w:val="auto"/>
        <w:rPr>
          <w:rFonts w:ascii="Calibri" w:hAnsi="Calibri"/>
          <w:color w:val="FF0000"/>
          <w:sz w:val="24"/>
          <w:szCs w:val="24"/>
        </w:rPr>
      </w:pPr>
    </w:p>
    <w:p w:rsidR="003F36C5" w:rsidRDefault="003F36C5" w:rsidP="00034687">
      <w:pPr>
        <w:tabs>
          <w:tab w:val="left" w:pos="8832"/>
        </w:tabs>
        <w:rPr>
          <w:rFonts w:ascii="Arial" w:hAnsi="Arial" w:cs="Arial"/>
          <w:color w:val="FF0000"/>
          <w:sz w:val="24"/>
          <w:szCs w:val="16"/>
        </w:rPr>
      </w:pPr>
    </w:p>
    <w:p w:rsidR="0008143B" w:rsidRDefault="0008143B" w:rsidP="00034687">
      <w:pPr>
        <w:tabs>
          <w:tab w:val="left" w:pos="8832"/>
        </w:tabs>
        <w:rPr>
          <w:rFonts w:ascii="Arial" w:hAnsi="Arial" w:cs="Arial"/>
          <w:color w:val="FF0000"/>
          <w:sz w:val="24"/>
          <w:szCs w:val="16"/>
        </w:rPr>
      </w:pPr>
    </w:p>
    <w:p w:rsidR="0008143B" w:rsidRDefault="0008143B" w:rsidP="00034687">
      <w:pPr>
        <w:tabs>
          <w:tab w:val="left" w:pos="8832"/>
        </w:tabs>
        <w:rPr>
          <w:rFonts w:ascii="Arial" w:hAnsi="Arial" w:cs="Arial"/>
          <w:color w:val="FF0000"/>
          <w:sz w:val="24"/>
          <w:szCs w:val="16"/>
        </w:rPr>
      </w:pPr>
    </w:p>
    <w:p w:rsidR="0008143B" w:rsidRDefault="0008143B" w:rsidP="00034687">
      <w:pPr>
        <w:tabs>
          <w:tab w:val="left" w:pos="8832"/>
        </w:tabs>
        <w:rPr>
          <w:rFonts w:ascii="Arial" w:hAnsi="Arial" w:cs="Arial"/>
          <w:color w:val="FF0000"/>
          <w:sz w:val="24"/>
          <w:szCs w:val="16"/>
        </w:rPr>
      </w:pPr>
    </w:p>
    <w:p w:rsidR="0008143B" w:rsidRDefault="0008143B" w:rsidP="00034687">
      <w:pPr>
        <w:tabs>
          <w:tab w:val="left" w:pos="8832"/>
        </w:tabs>
        <w:rPr>
          <w:rFonts w:ascii="Arial" w:hAnsi="Arial" w:cs="Arial"/>
          <w:color w:val="FF0000"/>
          <w:sz w:val="24"/>
          <w:szCs w:val="16"/>
        </w:rPr>
      </w:pPr>
    </w:p>
    <w:p w:rsidR="0008143B" w:rsidRDefault="0008143B" w:rsidP="00034687">
      <w:pPr>
        <w:tabs>
          <w:tab w:val="left" w:pos="8832"/>
        </w:tabs>
        <w:rPr>
          <w:rFonts w:ascii="Arial" w:hAnsi="Arial" w:cs="Arial"/>
          <w:color w:val="FF0000"/>
          <w:sz w:val="24"/>
          <w:szCs w:val="16"/>
        </w:rPr>
      </w:pPr>
    </w:p>
    <w:p w:rsidR="0008143B" w:rsidRPr="00673954" w:rsidRDefault="0008143B" w:rsidP="00034687">
      <w:pPr>
        <w:tabs>
          <w:tab w:val="left" w:pos="8832"/>
        </w:tabs>
        <w:rPr>
          <w:rFonts w:ascii="Arial" w:hAnsi="Arial" w:cs="Arial"/>
          <w:color w:val="FF0000"/>
          <w:sz w:val="24"/>
          <w:szCs w:val="16"/>
        </w:rPr>
      </w:pPr>
      <w:bookmarkStart w:id="1" w:name="_GoBack"/>
      <w:bookmarkEnd w:id="1"/>
    </w:p>
    <w:p w:rsidR="00034687" w:rsidRPr="0008143B" w:rsidRDefault="00034687" w:rsidP="007A0CE7">
      <w:pPr>
        <w:jc w:val="right"/>
        <w:rPr>
          <w:rFonts w:ascii="Arial" w:hAnsi="Arial" w:cs="Arial"/>
          <w:color w:val="FFFFFF" w:themeColor="background1"/>
          <w:sz w:val="24"/>
          <w:szCs w:val="16"/>
        </w:rPr>
      </w:pPr>
    </w:p>
    <w:p w:rsidR="00E763D0" w:rsidRPr="0008143B" w:rsidRDefault="00E763D0" w:rsidP="007A0CE7">
      <w:pPr>
        <w:jc w:val="right"/>
        <w:rPr>
          <w:rFonts w:ascii="Arial" w:hAnsi="Arial" w:cs="Arial"/>
          <w:color w:val="FFFFFF" w:themeColor="background1"/>
          <w:sz w:val="16"/>
          <w:szCs w:val="16"/>
        </w:rPr>
      </w:pPr>
      <w:r w:rsidRPr="0008143B">
        <w:rPr>
          <w:rFonts w:ascii="Arial" w:hAnsi="Arial" w:cs="Arial"/>
          <w:color w:val="FFFFFF" w:themeColor="background1"/>
          <w:sz w:val="16"/>
          <w:szCs w:val="16"/>
        </w:rPr>
        <w:t xml:space="preserve">Redacción: </w:t>
      </w:r>
      <w:r w:rsidR="00034687" w:rsidRPr="0008143B">
        <w:rPr>
          <w:rFonts w:ascii="Arial" w:hAnsi="Arial" w:cs="Arial"/>
          <w:color w:val="FFFFFF" w:themeColor="background1"/>
          <w:sz w:val="16"/>
          <w:szCs w:val="16"/>
        </w:rPr>
        <w:t>Norma Angélica Gómez Bravo</w:t>
      </w:r>
    </w:p>
    <w:p w:rsidR="003718D1" w:rsidRPr="0008143B" w:rsidRDefault="003718D1" w:rsidP="007A0CE7">
      <w:pPr>
        <w:jc w:val="right"/>
        <w:rPr>
          <w:rFonts w:ascii="Arial" w:hAnsi="Arial" w:cs="Arial"/>
          <w:color w:val="FFFFFF" w:themeColor="background1"/>
          <w:sz w:val="16"/>
          <w:szCs w:val="16"/>
        </w:rPr>
      </w:pPr>
      <w:r w:rsidRPr="0008143B">
        <w:rPr>
          <w:rFonts w:ascii="Arial" w:hAnsi="Arial" w:cs="Arial"/>
          <w:color w:val="FFFFFF" w:themeColor="background1"/>
          <w:sz w:val="16"/>
          <w:szCs w:val="16"/>
        </w:rPr>
        <w:t xml:space="preserve">Fotos: </w:t>
      </w:r>
      <w:r w:rsidR="00673954" w:rsidRPr="0008143B">
        <w:rPr>
          <w:rFonts w:ascii="Arial" w:hAnsi="Arial" w:cs="Arial"/>
          <w:color w:val="FFFFFF" w:themeColor="background1"/>
          <w:sz w:val="16"/>
          <w:szCs w:val="16"/>
        </w:rPr>
        <w:t>Banco de imágenes</w:t>
      </w:r>
    </w:p>
    <w:sectPr w:rsidR="003718D1" w:rsidRPr="0008143B"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B13" w:rsidRDefault="00703B13">
      <w:r>
        <w:separator/>
      </w:r>
    </w:p>
  </w:endnote>
  <w:endnote w:type="continuationSeparator" w:id="0">
    <w:p w:rsidR="00703B13" w:rsidRDefault="00703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B13" w:rsidRDefault="00703B13">
      <w:r>
        <w:rPr>
          <w:color w:val="000000"/>
        </w:rPr>
        <w:separator/>
      </w:r>
    </w:p>
  </w:footnote>
  <w:footnote w:type="continuationSeparator" w:id="0">
    <w:p w:rsidR="00703B13" w:rsidRDefault="00703B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B6D"/>
    <w:multiLevelType w:val="multilevel"/>
    <w:tmpl w:val="E5F68DC0"/>
    <w:lvl w:ilvl="0">
      <w:start w:val="1"/>
      <w:numFmt w:val="decimal"/>
      <w:lvlText w:val="%1."/>
      <w:lvlJc w:val="left"/>
      <w:pPr>
        <w:ind w:left="358" w:hanging="240"/>
        <w:jc w:val="left"/>
      </w:pPr>
      <w:rPr>
        <w:rFonts w:ascii="Times New Roman" w:eastAsia="Times New Roman" w:hAnsi="Times New Roman" w:cs="Times New Roman" w:hint="default"/>
        <w:b/>
        <w:bCs/>
        <w:spacing w:val="-1"/>
        <w:w w:val="100"/>
        <w:sz w:val="24"/>
        <w:szCs w:val="24"/>
        <w:lang w:val="es-ES" w:eastAsia="es-ES" w:bidi="es-ES"/>
      </w:rPr>
    </w:lvl>
    <w:lvl w:ilvl="1">
      <w:start w:val="1"/>
      <w:numFmt w:val="decimal"/>
      <w:lvlText w:val="%1.%2"/>
      <w:lvlJc w:val="left"/>
      <w:pPr>
        <w:ind w:left="478" w:hanging="360"/>
        <w:jc w:val="left"/>
      </w:pPr>
      <w:rPr>
        <w:rFonts w:ascii="Times New Roman" w:eastAsia="Times New Roman" w:hAnsi="Times New Roman" w:cs="Times New Roman" w:hint="default"/>
        <w:b/>
        <w:bCs/>
        <w:w w:val="100"/>
        <w:sz w:val="24"/>
        <w:szCs w:val="24"/>
        <w:lang w:val="es-ES" w:eastAsia="es-ES" w:bidi="es-ES"/>
      </w:rPr>
    </w:lvl>
    <w:lvl w:ilvl="2">
      <w:numFmt w:val="bullet"/>
      <w:lvlText w:val="•"/>
      <w:lvlJc w:val="left"/>
      <w:pPr>
        <w:ind w:left="540" w:hanging="360"/>
      </w:pPr>
      <w:rPr>
        <w:rFonts w:hint="default"/>
        <w:lang w:val="es-ES" w:eastAsia="es-ES" w:bidi="es-ES"/>
      </w:rPr>
    </w:lvl>
    <w:lvl w:ilvl="3">
      <w:numFmt w:val="bullet"/>
      <w:lvlText w:val="•"/>
      <w:lvlJc w:val="left"/>
      <w:pPr>
        <w:ind w:left="1605" w:hanging="360"/>
      </w:pPr>
      <w:rPr>
        <w:rFonts w:hint="default"/>
        <w:lang w:val="es-ES" w:eastAsia="es-ES" w:bidi="es-ES"/>
      </w:rPr>
    </w:lvl>
    <w:lvl w:ilvl="4">
      <w:numFmt w:val="bullet"/>
      <w:lvlText w:val="•"/>
      <w:lvlJc w:val="left"/>
      <w:pPr>
        <w:ind w:left="2670" w:hanging="360"/>
      </w:pPr>
      <w:rPr>
        <w:rFonts w:hint="default"/>
        <w:lang w:val="es-ES" w:eastAsia="es-ES" w:bidi="es-ES"/>
      </w:rPr>
    </w:lvl>
    <w:lvl w:ilvl="5">
      <w:numFmt w:val="bullet"/>
      <w:lvlText w:val="•"/>
      <w:lvlJc w:val="left"/>
      <w:pPr>
        <w:ind w:left="3735" w:hanging="360"/>
      </w:pPr>
      <w:rPr>
        <w:rFonts w:hint="default"/>
        <w:lang w:val="es-ES" w:eastAsia="es-ES" w:bidi="es-ES"/>
      </w:rPr>
    </w:lvl>
    <w:lvl w:ilvl="6">
      <w:numFmt w:val="bullet"/>
      <w:lvlText w:val="•"/>
      <w:lvlJc w:val="left"/>
      <w:pPr>
        <w:ind w:left="4800" w:hanging="360"/>
      </w:pPr>
      <w:rPr>
        <w:rFonts w:hint="default"/>
        <w:lang w:val="es-ES" w:eastAsia="es-ES" w:bidi="es-ES"/>
      </w:rPr>
    </w:lvl>
    <w:lvl w:ilvl="7">
      <w:numFmt w:val="bullet"/>
      <w:lvlText w:val="•"/>
      <w:lvlJc w:val="left"/>
      <w:pPr>
        <w:ind w:left="5865" w:hanging="360"/>
      </w:pPr>
      <w:rPr>
        <w:rFonts w:hint="default"/>
        <w:lang w:val="es-ES" w:eastAsia="es-ES" w:bidi="es-ES"/>
      </w:rPr>
    </w:lvl>
    <w:lvl w:ilvl="8">
      <w:numFmt w:val="bullet"/>
      <w:lvlText w:val="•"/>
      <w:lvlJc w:val="left"/>
      <w:pPr>
        <w:ind w:left="6930" w:hanging="360"/>
      </w:pPr>
      <w:rPr>
        <w:rFonts w:hint="default"/>
        <w:lang w:val="es-ES" w:eastAsia="es-ES" w:bidi="es-ES"/>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22224A"/>
    <w:multiLevelType w:val="hybridMultilevel"/>
    <w:tmpl w:val="675A7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A75F2D"/>
    <w:multiLevelType w:val="hybridMultilevel"/>
    <w:tmpl w:val="037C10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6"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9007DB3"/>
    <w:multiLevelType w:val="hybridMultilevel"/>
    <w:tmpl w:val="1050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C6572B"/>
    <w:multiLevelType w:val="hybridMultilevel"/>
    <w:tmpl w:val="9DFC542C"/>
    <w:lvl w:ilvl="0" w:tplc="A17CAD12">
      <w:numFmt w:val="bullet"/>
      <w:lvlText w:val="•"/>
      <w:lvlJc w:val="left"/>
      <w:pPr>
        <w:ind w:left="477" w:hanging="360"/>
      </w:pPr>
      <w:rPr>
        <w:rFonts w:ascii="Calibri" w:eastAsia="Calibri" w:hAnsi="Calibri" w:cs="Calibri" w:hint="default"/>
        <w:w w:val="100"/>
        <w:sz w:val="22"/>
        <w:szCs w:val="22"/>
        <w:lang w:val="es-ES" w:eastAsia="es-ES" w:bidi="es-ES"/>
      </w:rPr>
    </w:lvl>
    <w:lvl w:ilvl="1" w:tplc="08C4ABBE">
      <w:numFmt w:val="bullet"/>
      <w:lvlText w:val="•"/>
      <w:lvlJc w:val="left"/>
      <w:pPr>
        <w:ind w:left="1392" w:hanging="360"/>
      </w:pPr>
      <w:rPr>
        <w:rFonts w:hint="default"/>
        <w:lang w:val="es-ES" w:eastAsia="es-ES" w:bidi="es-ES"/>
      </w:rPr>
    </w:lvl>
    <w:lvl w:ilvl="2" w:tplc="0644D0EC">
      <w:numFmt w:val="bullet"/>
      <w:lvlText w:val="•"/>
      <w:lvlJc w:val="left"/>
      <w:pPr>
        <w:ind w:left="2304" w:hanging="360"/>
      </w:pPr>
      <w:rPr>
        <w:rFonts w:hint="default"/>
        <w:lang w:val="es-ES" w:eastAsia="es-ES" w:bidi="es-ES"/>
      </w:rPr>
    </w:lvl>
    <w:lvl w:ilvl="3" w:tplc="A11E6C5A">
      <w:numFmt w:val="bullet"/>
      <w:lvlText w:val="•"/>
      <w:lvlJc w:val="left"/>
      <w:pPr>
        <w:ind w:left="3216" w:hanging="360"/>
      </w:pPr>
      <w:rPr>
        <w:rFonts w:hint="default"/>
        <w:lang w:val="es-ES" w:eastAsia="es-ES" w:bidi="es-ES"/>
      </w:rPr>
    </w:lvl>
    <w:lvl w:ilvl="4" w:tplc="11A4097A">
      <w:numFmt w:val="bullet"/>
      <w:lvlText w:val="•"/>
      <w:lvlJc w:val="left"/>
      <w:pPr>
        <w:ind w:left="4128" w:hanging="360"/>
      </w:pPr>
      <w:rPr>
        <w:rFonts w:hint="default"/>
        <w:lang w:val="es-ES" w:eastAsia="es-ES" w:bidi="es-ES"/>
      </w:rPr>
    </w:lvl>
    <w:lvl w:ilvl="5" w:tplc="D6AABF30">
      <w:numFmt w:val="bullet"/>
      <w:lvlText w:val="•"/>
      <w:lvlJc w:val="left"/>
      <w:pPr>
        <w:ind w:left="5040" w:hanging="360"/>
      </w:pPr>
      <w:rPr>
        <w:rFonts w:hint="default"/>
        <w:lang w:val="es-ES" w:eastAsia="es-ES" w:bidi="es-ES"/>
      </w:rPr>
    </w:lvl>
    <w:lvl w:ilvl="6" w:tplc="3676CBC0">
      <w:numFmt w:val="bullet"/>
      <w:lvlText w:val="•"/>
      <w:lvlJc w:val="left"/>
      <w:pPr>
        <w:ind w:left="5952" w:hanging="360"/>
      </w:pPr>
      <w:rPr>
        <w:rFonts w:hint="default"/>
        <w:lang w:val="es-ES" w:eastAsia="es-ES" w:bidi="es-ES"/>
      </w:rPr>
    </w:lvl>
    <w:lvl w:ilvl="7" w:tplc="33C69A88">
      <w:numFmt w:val="bullet"/>
      <w:lvlText w:val="•"/>
      <w:lvlJc w:val="left"/>
      <w:pPr>
        <w:ind w:left="6864" w:hanging="360"/>
      </w:pPr>
      <w:rPr>
        <w:rFonts w:hint="default"/>
        <w:lang w:val="es-ES" w:eastAsia="es-ES" w:bidi="es-ES"/>
      </w:rPr>
    </w:lvl>
    <w:lvl w:ilvl="8" w:tplc="C666CA1C">
      <w:numFmt w:val="bullet"/>
      <w:lvlText w:val="•"/>
      <w:lvlJc w:val="left"/>
      <w:pPr>
        <w:ind w:left="7776" w:hanging="360"/>
      </w:pPr>
      <w:rPr>
        <w:rFonts w:hint="default"/>
        <w:lang w:val="es-ES" w:eastAsia="es-ES" w:bidi="es-ES"/>
      </w:rPr>
    </w:lvl>
  </w:abstractNum>
  <w:abstractNum w:abstractNumId="24"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CD7608E"/>
    <w:multiLevelType w:val="multilevel"/>
    <w:tmpl w:val="06E491E2"/>
    <w:lvl w:ilvl="0">
      <w:start w:val="1"/>
      <w:numFmt w:val="decimal"/>
      <w:lvlText w:val="%1."/>
      <w:lvlJc w:val="left"/>
      <w:pPr>
        <w:ind w:left="477" w:hanging="360"/>
        <w:jc w:val="left"/>
      </w:pPr>
      <w:rPr>
        <w:rFonts w:ascii="Calibri" w:eastAsia="Calibri" w:hAnsi="Calibri" w:cs="Calibri" w:hint="default"/>
        <w:b/>
        <w:bCs/>
        <w:spacing w:val="-1"/>
        <w:w w:val="100"/>
        <w:sz w:val="22"/>
        <w:szCs w:val="22"/>
        <w:lang w:val="es-ES" w:eastAsia="es-ES" w:bidi="es-ES"/>
      </w:rPr>
    </w:lvl>
    <w:lvl w:ilvl="1">
      <w:start w:val="1"/>
      <w:numFmt w:val="decimal"/>
      <w:lvlText w:val="%2."/>
      <w:lvlJc w:val="left"/>
      <w:pPr>
        <w:ind w:left="837" w:hanging="360"/>
        <w:jc w:val="right"/>
      </w:pPr>
      <w:rPr>
        <w:rFonts w:hint="default"/>
        <w:spacing w:val="-1"/>
        <w:w w:val="100"/>
        <w:lang w:val="es-ES" w:eastAsia="es-ES" w:bidi="es-ES"/>
      </w:rPr>
    </w:lvl>
    <w:lvl w:ilvl="2">
      <w:start w:val="1"/>
      <w:numFmt w:val="decimal"/>
      <w:lvlText w:val="%2.%3."/>
      <w:lvlJc w:val="left"/>
      <w:pPr>
        <w:ind w:left="909" w:hanging="432"/>
        <w:jc w:val="left"/>
      </w:pPr>
      <w:rPr>
        <w:rFonts w:ascii="Calibri" w:eastAsia="Calibri" w:hAnsi="Calibri" w:cs="Calibri" w:hint="default"/>
        <w:b/>
        <w:bCs/>
        <w:spacing w:val="-1"/>
        <w:w w:val="100"/>
        <w:sz w:val="22"/>
        <w:szCs w:val="22"/>
        <w:lang w:val="es-ES" w:eastAsia="es-ES" w:bidi="es-ES"/>
      </w:rPr>
    </w:lvl>
    <w:lvl w:ilvl="3">
      <w:numFmt w:val="bullet"/>
      <w:lvlText w:val="•"/>
      <w:lvlJc w:val="left"/>
      <w:pPr>
        <w:ind w:left="1987" w:hanging="432"/>
      </w:pPr>
      <w:rPr>
        <w:rFonts w:hint="default"/>
        <w:lang w:val="es-ES" w:eastAsia="es-ES" w:bidi="es-ES"/>
      </w:rPr>
    </w:lvl>
    <w:lvl w:ilvl="4">
      <w:numFmt w:val="bullet"/>
      <w:lvlText w:val="•"/>
      <w:lvlJc w:val="left"/>
      <w:pPr>
        <w:ind w:left="3075" w:hanging="432"/>
      </w:pPr>
      <w:rPr>
        <w:rFonts w:hint="default"/>
        <w:lang w:val="es-ES" w:eastAsia="es-ES" w:bidi="es-ES"/>
      </w:rPr>
    </w:lvl>
    <w:lvl w:ilvl="5">
      <w:numFmt w:val="bullet"/>
      <w:lvlText w:val="•"/>
      <w:lvlJc w:val="left"/>
      <w:pPr>
        <w:ind w:left="4162" w:hanging="432"/>
      </w:pPr>
      <w:rPr>
        <w:rFonts w:hint="default"/>
        <w:lang w:val="es-ES" w:eastAsia="es-ES" w:bidi="es-ES"/>
      </w:rPr>
    </w:lvl>
    <w:lvl w:ilvl="6">
      <w:numFmt w:val="bullet"/>
      <w:lvlText w:val="•"/>
      <w:lvlJc w:val="left"/>
      <w:pPr>
        <w:ind w:left="5250" w:hanging="432"/>
      </w:pPr>
      <w:rPr>
        <w:rFonts w:hint="default"/>
        <w:lang w:val="es-ES" w:eastAsia="es-ES" w:bidi="es-ES"/>
      </w:rPr>
    </w:lvl>
    <w:lvl w:ilvl="7">
      <w:numFmt w:val="bullet"/>
      <w:lvlText w:val="•"/>
      <w:lvlJc w:val="left"/>
      <w:pPr>
        <w:ind w:left="6337" w:hanging="432"/>
      </w:pPr>
      <w:rPr>
        <w:rFonts w:hint="default"/>
        <w:lang w:val="es-ES" w:eastAsia="es-ES" w:bidi="es-ES"/>
      </w:rPr>
    </w:lvl>
    <w:lvl w:ilvl="8">
      <w:numFmt w:val="bullet"/>
      <w:lvlText w:val="•"/>
      <w:lvlJc w:val="left"/>
      <w:pPr>
        <w:ind w:left="7425" w:hanging="432"/>
      </w:pPr>
      <w:rPr>
        <w:rFonts w:hint="default"/>
        <w:lang w:val="es-ES" w:eastAsia="es-ES" w:bidi="es-ES"/>
      </w:rPr>
    </w:lvl>
  </w:abstractNum>
  <w:abstractNum w:abstractNumId="27"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F7F2723"/>
    <w:multiLevelType w:val="hybridMultilevel"/>
    <w:tmpl w:val="32484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21"/>
  </w:num>
  <w:num w:numId="4">
    <w:abstractNumId w:val="25"/>
  </w:num>
  <w:num w:numId="5">
    <w:abstractNumId w:val="17"/>
  </w:num>
  <w:num w:numId="6">
    <w:abstractNumId w:val="30"/>
  </w:num>
  <w:num w:numId="7">
    <w:abstractNumId w:val="32"/>
  </w:num>
  <w:num w:numId="8">
    <w:abstractNumId w:val="2"/>
  </w:num>
  <w:num w:numId="9">
    <w:abstractNumId w:val="39"/>
  </w:num>
  <w:num w:numId="10">
    <w:abstractNumId w:val="36"/>
  </w:num>
  <w:num w:numId="11">
    <w:abstractNumId w:val="6"/>
  </w:num>
  <w:num w:numId="12">
    <w:abstractNumId w:val="3"/>
  </w:num>
  <w:num w:numId="13">
    <w:abstractNumId w:val="22"/>
  </w:num>
  <w:num w:numId="14">
    <w:abstractNumId w:val="4"/>
  </w:num>
  <w:num w:numId="15">
    <w:abstractNumId w:val="38"/>
  </w:num>
  <w:num w:numId="16">
    <w:abstractNumId w:val="12"/>
  </w:num>
  <w:num w:numId="17">
    <w:abstractNumId w:val="24"/>
  </w:num>
  <w:num w:numId="18">
    <w:abstractNumId w:val="20"/>
  </w:num>
  <w:num w:numId="19">
    <w:abstractNumId w:val="16"/>
  </w:num>
  <w:num w:numId="20">
    <w:abstractNumId w:val="24"/>
  </w:num>
  <w:num w:numId="21">
    <w:abstractNumId w:val="27"/>
  </w:num>
  <w:num w:numId="22">
    <w:abstractNumId w:val="8"/>
  </w:num>
  <w:num w:numId="23">
    <w:abstractNumId w:val="28"/>
  </w:num>
  <w:num w:numId="24">
    <w:abstractNumId w:val="40"/>
  </w:num>
  <w:num w:numId="25">
    <w:abstractNumId w:val="14"/>
  </w:num>
  <w:num w:numId="26">
    <w:abstractNumId w:val="15"/>
  </w:num>
  <w:num w:numId="27">
    <w:abstractNumId w:val="18"/>
  </w:num>
  <w:num w:numId="28">
    <w:abstractNumId w:val="37"/>
  </w:num>
  <w:num w:numId="29">
    <w:abstractNumId w:val="5"/>
  </w:num>
  <w:num w:numId="30">
    <w:abstractNumId w:val="35"/>
  </w:num>
  <w:num w:numId="31">
    <w:abstractNumId w:val="13"/>
  </w:num>
  <w:num w:numId="32">
    <w:abstractNumId w:val="1"/>
  </w:num>
  <w:num w:numId="33">
    <w:abstractNumId w:val="31"/>
  </w:num>
  <w:num w:numId="34">
    <w:abstractNumId w:val="9"/>
  </w:num>
  <w:num w:numId="35">
    <w:abstractNumId w:val="19"/>
  </w:num>
  <w:num w:numId="36">
    <w:abstractNumId w:val="26"/>
  </w:num>
  <w:num w:numId="37">
    <w:abstractNumId w:val="23"/>
  </w:num>
  <w:num w:numId="38">
    <w:abstractNumId w:val="0"/>
  </w:num>
  <w:num w:numId="39">
    <w:abstractNumId w:val="7"/>
  </w:num>
  <w:num w:numId="40">
    <w:abstractNumId w:val="33"/>
  </w:num>
  <w:num w:numId="41">
    <w:abstractNumId w:val="10"/>
  </w:num>
  <w:num w:numId="42">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5A"/>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43B"/>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439"/>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037"/>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458"/>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5E44"/>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8D1"/>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08"/>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745"/>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5E8"/>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219"/>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954"/>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B13"/>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3D2"/>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5345"/>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08F"/>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AD5"/>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187"/>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1B96C"/>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896215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4334952">
      <w:bodyDiv w:val="1"/>
      <w:marLeft w:val="0"/>
      <w:marRight w:val="0"/>
      <w:marTop w:val="0"/>
      <w:marBottom w:val="0"/>
      <w:divBdr>
        <w:top w:val="none" w:sz="0" w:space="0" w:color="auto"/>
        <w:left w:val="none" w:sz="0" w:space="0" w:color="auto"/>
        <w:bottom w:val="none" w:sz="0" w:space="0" w:color="auto"/>
        <w:right w:val="none" w:sz="0" w:space="0" w:color="auto"/>
      </w:divBdr>
      <w:divsChild>
        <w:div w:id="2129935628">
          <w:marLeft w:val="0"/>
          <w:marRight w:val="0"/>
          <w:marTop w:val="0"/>
          <w:marBottom w:val="0"/>
          <w:divBdr>
            <w:top w:val="none" w:sz="0" w:space="0" w:color="auto"/>
            <w:left w:val="none" w:sz="0" w:space="0" w:color="auto"/>
            <w:bottom w:val="none" w:sz="0" w:space="0" w:color="auto"/>
            <w:right w:val="none" w:sz="0" w:space="0" w:color="auto"/>
          </w:divBdr>
        </w:div>
        <w:div w:id="21983233">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1ED28-E3AA-45E4-8AAC-D0C1495FE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568</Words>
  <Characters>3129</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10</cp:revision>
  <cp:lastPrinted>2020-03-12T17:46:00Z</cp:lastPrinted>
  <dcterms:created xsi:type="dcterms:W3CDTF">2020-10-09T19:27:00Z</dcterms:created>
  <dcterms:modified xsi:type="dcterms:W3CDTF">2020-10-10T01:42:00Z</dcterms:modified>
</cp:coreProperties>
</file>