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97572F">
        <w:rPr>
          <w:rFonts w:ascii="Arial" w:hAnsi="Arial" w:cs="Arial"/>
          <w:b/>
          <w:sz w:val="24"/>
          <w:szCs w:val="24"/>
        </w:rPr>
        <w:t>5</w:t>
      </w:r>
      <w:r w:rsidR="00AC1CD0">
        <w:rPr>
          <w:rFonts w:ascii="Arial" w:hAnsi="Arial" w:cs="Arial"/>
          <w:b/>
          <w:sz w:val="24"/>
          <w:szCs w:val="24"/>
        </w:rPr>
        <w:t>4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633395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  <w:lang w:val="es-MX"/>
        </w:rPr>
      </w:pPr>
    </w:p>
    <w:p w:rsidR="00334326" w:rsidRPr="00334326" w:rsidRDefault="00334326" w:rsidP="0097572F">
      <w:pPr>
        <w:pStyle w:val="NormalWeb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 w:rsidRPr="00334326">
        <w:rPr>
          <w:rFonts w:ascii="Arial" w:hAnsi="Arial" w:cs="Arial"/>
          <w:b/>
          <w:sz w:val="36"/>
          <w:lang w:val="es-MX"/>
        </w:rPr>
        <w:t>Busca</w:t>
      </w:r>
      <w:r w:rsidR="00F471D9" w:rsidRPr="00334326">
        <w:rPr>
          <w:rFonts w:ascii="Arial" w:hAnsi="Arial" w:cs="Arial"/>
          <w:b/>
          <w:sz w:val="36"/>
          <w:lang w:val="es-MX"/>
        </w:rPr>
        <w:t xml:space="preserve"> </w:t>
      </w:r>
      <w:r w:rsidR="0097572F" w:rsidRPr="00334326">
        <w:rPr>
          <w:rFonts w:ascii="Arial" w:hAnsi="Arial" w:cs="Arial"/>
          <w:b/>
          <w:sz w:val="36"/>
          <w:lang w:val="es-MX"/>
        </w:rPr>
        <w:t xml:space="preserve">UABC </w:t>
      </w:r>
      <w:r w:rsidRPr="00334326">
        <w:rPr>
          <w:rFonts w:ascii="Arial" w:hAnsi="Arial" w:cs="Arial"/>
          <w:b/>
          <w:sz w:val="36"/>
          <w:lang w:val="es-MX"/>
        </w:rPr>
        <w:t xml:space="preserve">beneficiar a comunidades vulnerables </w:t>
      </w:r>
    </w:p>
    <w:p w:rsidR="0097572F" w:rsidRPr="00334326" w:rsidRDefault="00334326" w:rsidP="0097572F">
      <w:pPr>
        <w:pStyle w:val="NormalWeb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 w:rsidRPr="00334326">
        <w:rPr>
          <w:rFonts w:ascii="Arial" w:hAnsi="Arial" w:cs="Arial"/>
          <w:b/>
          <w:sz w:val="36"/>
          <w:lang w:val="es-MX"/>
        </w:rPr>
        <w:t xml:space="preserve">a través de </w:t>
      </w:r>
      <w:r w:rsidR="00994D77">
        <w:rPr>
          <w:rFonts w:ascii="Arial" w:hAnsi="Arial" w:cs="Arial"/>
          <w:b/>
          <w:sz w:val="36"/>
          <w:lang w:val="es-MX"/>
        </w:rPr>
        <w:t>proyectos de innovación</w:t>
      </w:r>
      <w:r w:rsidR="0097572F" w:rsidRPr="00334326">
        <w:rPr>
          <w:rFonts w:ascii="Arial" w:hAnsi="Arial" w:cs="Arial"/>
          <w:b/>
          <w:sz w:val="36"/>
          <w:lang w:val="es-MX"/>
        </w:rPr>
        <w:t xml:space="preserve"> </w:t>
      </w:r>
    </w:p>
    <w:p w:rsidR="0097572F" w:rsidRPr="00334326" w:rsidRDefault="0097572F" w:rsidP="0097572F">
      <w:pPr>
        <w:pStyle w:val="NormalWeb"/>
        <w:spacing w:before="0" w:after="0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:rsidR="0097572F" w:rsidRPr="00633395" w:rsidRDefault="00633395" w:rsidP="00633395">
      <w:pPr>
        <w:pStyle w:val="NormalWeb"/>
        <w:numPr>
          <w:ilvl w:val="0"/>
          <w:numId w:val="42"/>
        </w:numPr>
        <w:spacing w:before="0" w:after="0"/>
        <w:ind w:left="284" w:hanging="284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  <w:r>
        <w:rPr>
          <w:rFonts w:ascii="Arial" w:hAnsi="Arial" w:cs="Arial"/>
          <w:lang w:val="es-MX"/>
        </w:rPr>
        <w:t>H</w:t>
      </w:r>
      <w:r w:rsidRPr="00633395">
        <w:rPr>
          <w:rFonts w:ascii="Arial" w:hAnsi="Arial" w:cs="Arial"/>
          <w:lang w:val="es-MX"/>
        </w:rPr>
        <w:t>a emprendido una convocatoria permanente de vinculación con los sectores empresariales y gubernamentales.</w:t>
      </w:r>
    </w:p>
    <w:p w:rsidR="00633395" w:rsidRPr="00334326" w:rsidRDefault="00633395" w:rsidP="00633395">
      <w:pPr>
        <w:pStyle w:val="NormalWeb"/>
        <w:spacing w:before="0" w:after="0"/>
        <w:ind w:left="284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:rsidR="00F471D9" w:rsidRDefault="0097572F" w:rsidP="00F471D9">
      <w:pPr>
        <w:jc w:val="both"/>
        <w:rPr>
          <w:rFonts w:ascii="Arial" w:hAnsi="Arial" w:cs="Arial"/>
          <w:sz w:val="24"/>
          <w:szCs w:val="24"/>
        </w:rPr>
      </w:pPr>
      <w:r w:rsidRPr="00F471D9">
        <w:rPr>
          <w:rFonts w:ascii="Arial" w:hAnsi="Arial" w:cs="Arial"/>
          <w:b/>
          <w:sz w:val="24"/>
          <w:szCs w:val="24"/>
        </w:rPr>
        <w:t xml:space="preserve">Mexicali, B.C., </w:t>
      </w:r>
      <w:r w:rsidR="00AC1CD0">
        <w:rPr>
          <w:rFonts w:ascii="Arial" w:hAnsi="Arial" w:cs="Arial"/>
          <w:b/>
          <w:sz w:val="24"/>
          <w:szCs w:val="24"/>
        </w:rPr>
        <w:t>lunes 12</w:t>
      </w:r>
      <w:r w:rsidRPr="00F471D9">
        <w:rPr>
          <w:rFonts w:ascii="Arial" w:hAnsi="Arial" w:cs="Arial"/>
          <w:b/>
          <w:sz w:val="24"/>
          <w:szCs w:val="24"/>
        </w:rPr>
        <w:t xml:space="preserve"> de octubre de 2020</w:t>
      </w:r>
      <w:r w:rsidRPr="00F471D9">
        <w:rPr>
          <w:rFonts w:ascii="Arial" w:hAnsi="Arial" w:cs="Arial"/>
          <w:sz w:val="24"/>
          <w:szCs w:val="24"/>
        </w:rPr>
        <w:t xml:space="preserve">.- </w:t>
      </w:r>
      <w:r w:rsidR="00804DBC" w:rsidRPr="00804DBC">
        <w:rPr>
          <w:rFonts w:ascii="Arial" w:hAnsi="Arial" w:cs="Arial"/>
          <w:sz w:val="24"/>
          <w:szCs w:val="24"/>
        </w:rPr>
        <w:t>Con el objetivo</w:t>
      </w:r>
      <w:r w:rsidR="00804DBC">
        <w:rPr>
          <w:rFonts w:ascii="Arial" w:hAnsi="Arial" w:cs="Arial"/>
          <w:b/>
          <w:sz w:val="24"/>
          <w:szCs w:val="24"/>
        </w:rPr>
        <w:t xml:space="preserve"> </w:t>
      </w:r>
      <w:r w:rsidR="00804DBC" w:rsidRPr="00804DBC">
        <w:rPr>
          <w:rFonts w:ascii="Arial" w:hAnsi="Arial" w:cs="Arial"/>
          <w:sz w:val="24"/>
          <w:szCs w:val="24"/>
        </w:rPr>
        <w:t xml:space="preserve">de </w:t>
      </w:r>
      <w:r w:rsidR="00334326">
        <w:rPr>
          <w:rFonts w:ascii="Arial" w:hAnsi="Arial" w:cs="Arial"/>
          <w:sz w:val="24"/>
          <w:szCs w:val="24"/>
        </w:rPr>
        <w:t xml:space="preserve">brindar acciones de alto impacto que beneficien a las comunidades vulnerables, </w:t>
      </w:r>
      <w:r w:rsidR="00804DBC">
        <w:rPr>
          <w:rFonts w:ascii="Arial" w:hAnsi="Arial" w:cs="Arial"/>
          <w:sz w:val="24"/>
          <w:szCs w:val="24"/>
        </w:rPr>
        <w:t>la Universidad Autónoma de Baja California (UABC)</w:t>
      </w:r>
      <w:r w:rsidR="00334326">
        <w:rPr>
          <w:rFonts w:ascii="Arial" w:hAnsi="Arial" w:cs="Arial"/>
          <w:sz w:val="24"/>
          <w:szCs w:val="24"/>
        </w:rPr>
        <w:t xml:space="preserve"> </w:t>
      </w:r>
      <w:r w:rsidR="00804DBC">
        <w:rPr>
          <w:rFonts w:ascii="Arial" w:hAnsi="Arial" w:cs="Arial"/>
          <w:sz w:val="24"/>
          <w:szCs w:val="24"/>
        </w:rPr>
        <w:t>ha emprendido u</w:t>
      </w:r>
      <w:r w:rsidR="006164ED">
        <w:rPr>
          <w:rFonts w:ascii="Arial" w:hAnsi="Arial" w:cs="Arial"/>
          <w:sz w:val="24"/>
          <w:szCs w:val="24"/>
        </w:rPr>
        <w:t xml:space="preserve">na convocatoria permanente de </w:t>
      </w:r>
      <w:r w:rsidR="00863CED">
        <w:rPr>
          <w:rFonts w:ascii="Arial" w:hAnsi="Arial" w:cs="Arial"/>
          <w:sz w:val="24"/>
          <w:szCs w:val="24"/>
        </w:rPr>
        <w:t xml:space="preserve">vinculación con los sectores empresariales y gubernamentales, a fin de </w:t>
      </w:r>
      <w:r w:rsidR="00804DBC">
        <w:rPr>
          <w:rFonts w:ascii="Arial" w:hAnsi="Arial" w:cs="Arial"/>
          <w:sz w:val="24"/>
          <w:szCs w:val="24"/>
        </w:rPr>
        <w:t xml:space="preserve">implementar programas de innovación en el que participen </w:t>
      </w:r>
      <w:r w:rsidR="00334326">
        <w:rPr>
          <w:rFonts w:ascii="Arial" w:hAnsi="Arial" w:cs="Arial"/>
          <w:sz w:val="24"/>
          <w:szCs w:val="24"/>
        </w:rPr>
        <w:t>académicos y estudiantes</w:t>
      </w:r>
      <w:r w:rsidR="00863CED">
        <w:rPr>
          <w:rFonts w:ascii="Arial" w:hAnsi="Arial" w:cs="Arial"/>
          <w:sz w:val="24"/>
          <w:szCs w:val="24"/>
        </w:rPr>
        <w:t>.</w:t>
      </w:r>
      <w:r w:rsidR="00334326">
        <w:rPr>
          <w:rFonts w:ascii="Arial" w:hAnsi="Arial" w:cs="Arial"/>
          <w:sz w:val="24"/>
          <w:szCs w:val="24"/>
        </w:rPr>
        <w:t xml:space="preserve"> </w:t>
      </w:r>
    </w:p>
    <w:p w:rsidR="00334326" w:rsidRPr="00B037E1" w:rsidRDefault="00334326" w:rsidP="00F471D9">
      <w:pPr>
        <w:jc w:val="both"/>
        <w:rPr>
          <w:rFonts w:ascii="Arial" w:hAnsi="Arial" w:cs="Arial"/>
          <w:sz w:val="16"/>
          <w:szCs w:val="16"/>
        </w:rPr>
      </w:pPr>
    </w:p>
    <w:p w:rsidR="00863CED" w:rsidRDefault="00334326" w:rsidP="00863C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“Esto se puede lograr a través de la vinculación universitaria, una de las tareas sustantivas de la UABC”, mencionó el doctor David Guadalupe Toledo Sarracino, coordinador general de Vinculación y Cooperación Académica.</w:t>
      </w:r>
      <w:r w:rsidR="00863CED">
        <w:rPr>
          <w:rFonts w:ascii="Arial" w:hAnsi="Arial" w:cs="Arial"/>
          <w:sz w:val="24"/>
          <w:szCs w:val="24"/>
        </w:rPr>
        <w:t xml:space="preserve"> “La </w:t>
      </w:r>
      <w:r w:rsidR="00863CED" w:rsidRPr="00F471D9">
        <w:rPr>
          <w:rFonts w:ascii="Arial" w:hAnsi="Arial" w:cs="Arial"/>
          <w:sz w:val="24"/>
          <w:szCs w:val="24"/>
        </w:rPr>
        <w:t>UABC tiene una</w:t>
      </w:r>
      <w:r w:rsidR="00863CED">
        <w:rPr>
          <w:rFonts w:ascii="Arial" w:hAnsi="Arial" w:cs="Arial"/>
          <w:sz w:val="24"/>
          <w:szCs w:val="24"/>
        </w:rPr>
        <w:t xml:space="preserve"> vinculación estrecha con los di</w:t>
      </w:r>
      <w:r w:rsidR="00863CED" w:rsidRPr="00F471D9">
        <w:rPr>
          <w:rFonts w:ascii="Arial" w:hAnsi="Arial" w:cs="Arial"/>
          <w:sz w:val="24"/>
          <w:szCs w:val="24"/>
        </w:rPr>
        <w:t>versos sectores, sin embargo</w:t>
      </w:r>
      <w:r w:rsidR="00863CED">
        <w:rPr>
          <w:rFonts w:ascii="Arial" w:hAnsi="Arial" w:cs="Arial"/>
          <w:sz w:val="24"/>
          <w:szCs w:val="24"/>
        </w:rPr>
        <w:t>,</w:t>
      </w:r>
      <w:r w:rsidR="00863CED" w:rsidRPr="00F471D9">
        <w:rPr>
          <w:rFonts w:ascii="Arial" w:hAnsi="Arial" w:cs="Arial"/>
          <w:sz w:val="24"/>
          <w:szCs w:val="24"/>
        </w:rPr>
        <w:t xml:space="preserve"> requerimos afianzar y tener mayor cobertura en todas la</w:t>
      </w:r>
      <w:r w:rsidR="00863CED">
        <w:rPr>
          <w:rFonts w:ascii="Arial" w:hAnsi="Arial" w:cs="Arial"/>
          <w:sz w:val="24"/>
          <w:szCs w:val="24"/>
        </w:rPr>
        <w:t>s</w:t>
      </w:r>
      <w:r w:rsidR="00863CED" w:rsidRPr="00F471D9">
        <w:rPr>
          <w:rFonts w:ascii="Arial" w:hAnsi="Arial" w:cs="Arial"/>
          <w:sz w:val="24"/>
          <w:szCs w:val="24"/>
        </w:rPr>
        <w:t xml:space="preserve"> áreas del conocimiento</w:t>
      </w:r>
      <w:r w:rsidR="00863CED">
        <w:rPr>
          <w:rFonts w:ascii="Arial" w:hAnsi="Arial" w:cs="Arial"/>
          <w:sz w:val="24"/>
          <w:szCs w:val="24"/>
        </w:rPr>
        <w:t>”, agregó</w:t>
      </w:r>
      <w:r w:rsidR="00863CED" w:rsidRPr="00F471D9">
        <w:rPr>
          <w:rFonts w:ascii="Arial" w:hAnsi="Arial" w:cs="Arial"/>
          <w:sz w:val="24"/>
          <w:szCs w:val="24"/>
        </w:rPr>
        <w:t>.</w:t>
      </w:r>
    </w:p>
    <w:p w:rsidR="00863CED" w:rsidRPr="00B037E1" w:rsidRDefault="00863CED" w:rsidP="00863CED">
      <w:pPr>
        <w:jc w:val="both"/>
        <w:rPr>
          <w:rFonts w:ascii="Arial" w:hAnsi="Arial" w:cs="Arial"/>
          <w:sz w:val="16"/>
          <w:szCs w:val="16"/>
        </w:rPr>
      </w:pPr>
    </w:p>
    <w:p w:rsidR="00863CED" w:rsidRDefault="009F406C" w:rsidP="00863C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medio de esta campaña, las empresas o dependencias gubernamentales</w:t>
      </w:r>
      <w:r w:rsidR="00633395">
        <w:rPr>
          <w:rFonts w:ascii="Arial" w:hAnsi="Arial" w:cs="Arial"/>
          <w:sz w:val="24"/>
          <w:szCs w:val="24"/>
        </w:rPr>
        <w:t>, estatales o nacionales,</w:t>
      </w:r>
      <w:r>
        <w:rPr>
          <w:rFonts w:ascii="Arial" w:hAnsi="Arial" w:cs="Arial"/>
          <w:sz w:val="24"/>
          <w:szCs w:val="24"/>
        </w:rPr>
        <w:t xml:space="preserve"> podrán dar a conocer sus planes para participar como unidad receptora de servicio social, prácticas profesionales, proyectos de vinculación, educación continua o de formación dual para estudiantes de nivel licenciatura.</w:t>
      </w:r>
    </w:p>
    <w:p w:rsidR="009F406C" w:rsidRPr="00B037E1" w:rsidRDefault="009F406C" w:rsidP="00863CED">
      <w:pPr>
        <w:jc w:val="both"/>
        <w:rPr>
          <w:rFonts w:ascii="Arial" w:hAnsi="Arial" w:cs="Arial"/>
          <w:sz w:val="16"/>
          <w:szCs w:val="16"/>
        </w:rPr>
      </w:pPr>
    </w:p>
    <w:p w:rsidR="000B26C6" w:rsidRPr="00F471D9" w:rsidRDefault="009F406C" w:rsidP="000B26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Mencionó el coordinador general que los interesados en participar pueden enviar un correo electrónico a:</w:t>
      </w:r>
      <w:r w:rsidR="00863CED" w:rsidRPr="00F471D9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863CED" w:rsidRPr="00F471D9">
          <w:rPr>
            <w:rStyle w:val="Hipervnculo"/>
            <w:rFonts w:ascii="Arial" w:hAnsi="Arial" w:cs="Arial"/>
            <w:sz w:val="24"/>
            <w:szCs w:val="24"/>
          </w:rPr>
          <w:t>cgvca@uabc.edu.mx</w:t>
        </w:r>
      </w:hyperlink>
      <w:r w:rsidR="00863CED" w:rsidRPr="00F471D9">
        <w:rPr>
          <w:rFonts w:ascii="Arial" w:hAnsi="Arial" w:cs="Arial"/>
          <w:sz w:val="24"/>
          <w:szCs w:val="24"/>
        </w:rPr>
        <w:t xml:space="preserve"> y en breve </w:t>
      </w:r>
      <w:r>
        <w:rPr>
          <w:rFonts w:ascii="Arial" w:hAnsi="Arial" w:cs="Arial"/>
          <w:sz w:val="24"/>
          <w:szCs w:val="24"/>
        </w:rPr>
        <w:t>serán atendidos. “</w:t>
      </w:r>
      <w:r w:rsidR="000B26C6" w:rsidRPr="00F471D9">
        <w:rPr>
          <w:rFonts w:ascii="Arial" w:hAnsi="Arial" w:cs="Arial"/>
          <w:sz w:val="24"/>
          <w:szCs w:val="24"/>
        </w:rPr>
        <w:t>El acercamiento debe ser c</w:t>
      </w:r>
      <w:r>
        <w:rPr>
          <w:rFonts w:ascii="Arial" w:hAnsi="Arial" w:cs="Arial"/>
          <w:sz w:val="24"/>
          <w:szCs w:val="24"/>
        </w:rPr>
        <w:t>on la CGVCA o las jefaturas de Apoyo a la Extensión de la Cultura y la V</w:t>
      </w:r>
      <w:r w:rsidR="000B26C6" w:rsidRPr="00F471D9">
        <w:rPr>
          <w:rFonts w:ascii="Arial" w:hAnsi="Arial" w:cs="Arial"/>
          <w:sz w:val="24"/>
          <w:szCs w:val="24"/>
        </w:rPr>
        <w:t>inculación de cada campus,</w:t>
      </w:r>
      <w:r>
        <w:rPr>
          <w:rFonts w:ascii="Arial" w:hAnsi="Arial" w:cs="Arial"/>
          <w:sz w:val="24"/>
          <w:szCs w:val="24"/>
        </w:rPr>
        <w:t xml:space="preserve"> donde valoraremos la </w:t>
      </w:r>
      <w:r w:rsidR="00EC4F41">
        <w:rPr>
          <w:rFonts w:ascii="Arial" w:hAnsi="Arial" w:cs="Arial"/>
          <w:sz w:val="24"/>
          <w:szCs w:val="24"/>
        </w:rPr>
        <w:t>pertinencia del proyecto para</w:t>
      </w:r>
      <w:r w:rsidR="000B26C6" w:rsidRPr="00F471D9">
        <w:rPr>
          <w:rFonts w:ascii="Arial" w:hAnsi="Arial" w:cs="Arial"/>
          <w:sz w:val="24"/>
          <w:szCs w:val="24"/>
        </w:rPr>
        <w:t xml:space="preserve"> encaminarlo a la escuela y facultad que pueda apoyar al solicitante</w:t>
      </w:r>
      <w:r w:rsidR="00EC4F41">
        <w:rPr>
          <w:rFonts w:ascii="Arial" w:hAnsi="Arial" w:cs="Arial"/>
          <w:sz w:val="24"/>
          <w:szCs w:val="24"/>
        </w:rPr>
        <w:t>”, explicó</w:t>
      </w:r>
      <w:r w:rsidR="000B26C6" w:rsidRPr="00F471D9">
        <w:rPr>
          <w:rFonts w:ascii="Arial" w:hAnsi="Arial" w:cs="Arial"/>
          <w:sz w:val="24"/>
          <w:szCs w:val="24"/>
        </w:rPr>
        <w:t xml:space="preserve">.  </w:t>
      </w:r>
    </w:p>
    <w:p w:rsidR="000B26C6" w:rsidRPr="00B037E1" w:rsidRDefault="000B26C6" w:rsidP="000B26C6">
      <w:pPr>
        <w:jc w:val="both"/>
        <w:rPr>
          <w:rFonts w:ascii="Arial" w:hAnsi="Arial" w:cs="Arial"/>
          <w:sz w:val="16"/>
          <w:szCs w:val="16"/>
        </w:rPr>
      </w:pPr>
    </w:p>
    <w:p w:rsidR="00EC4F41" w:rsidRDefault="00B037E1" w:rsidP="00B037E1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Sobre los </w:t>
      </w:r>
      <w:r w:rsidR="00EC4F41" w:rsidRPr="00B037E1">
        <w:rPr>
          <w:rFonts w:ascii="Arial" w:hAnsi="Arial" w:cs="Arial"/>
          <w:sz w:val="24"/>
          <w:szCs w:val="24"/>
        </w:rPr>
        <w:t xml:space="preserve">tipos de proyectos </w:t>
      </w:r>
      <w:r>
        <w:rPr>
          <w:rFonts w:ascii="Arial" w:hAnsi="Arial" w:cs="Arial"/>
          <w:sz w:val="24"/>
          <w:szCs w:val="24"/>
        </w:rPr>
        <w:t xml:space="preserve">que </w:t>
      </w:r>
      <w:r w:rsidR="00EC4F41" w:rsidRPr="00B037E1">
        <w:rPr>
          <w:rFonts w:ascii="Arial" w:hAnsi="Arial" w:cs="Arial"/>
          <w:sz w:val="24"/>
          <w:szCs w:val="24"/>
        </w:rPr>
        <w:t xml:space="preserve">pueden ser </w:t>
      </w:r>
      <w:r>
        <w:rPr>
          <w:rFonts w:ascii="Arial" w:hAnsi="Arial" w:cs="Arial"/>
          <w:sz w:val="24"/>
          <w:szCs w:val="24"/>
        </w:rPr>
        <w:t>propuestos indicó que deben</w:t>
      </w:r>
      <w:r w:rsidR="005420BE">
        <w:rPr>
          <w:rFonts w:ascii="Arial" w:hAnsi="Arial" w:cs="Arial"/>
          <w:sz w:val="24"/>
          <w:szCs w:val="24"/>
        </w:rPr>
        <w:t xml:space="preserve"> permitir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que los docentes, investigadores y estudiantes </w:t>
      </w:r>
      <w:r w:rsidR="005420BE">
        <w:rPr>
          <w:rFonts w:ascii="Arial" w:hAnsi="Arial" w:cs="Arial"/>
          <w:sz w:val="24"/>
          <w:szCs w:val="24"/>
        </w:rPr>
        <w:t>desarrollen</w:t>
      </w:r>
      <w:r>
        <w:rPr>
          <w:rFonts w:ascii="Arial" w:hAnsi="Arial" w:cs="Arial"/>
          <w:sz w:val="24"/>
          <w:szCs w:val="24"/>
        </w:rPr>
        <w:t xml:space="preserve"> </w:t>
      </w:r>
      <w:r w:rsidRPr="00F471D9">
        <w:rPr>
          <w:rFonts w:ascii="Arial" w:hAnsi="Arial" w:cs="Arial"/>
          <w:sz w:val="24"/>
          <w:szCs w:val="24"/>
        </w:rPr>
        <w:t>acciones encaminadas a la tra</w:t>
      </w:r>
      <w:r w:rsidR="00F5100D">
        <w:rPr>
          <w:rFonts w:ascii="Arial" w:hAnsi="Arial" w:cs="Arial"/>
          <w:sz w:val="24"/>
          <w:szCs w:val="24"/>
        </w:rPr>
        <w:t>n</w:t>
      </w:r>
      <w:r w:rsidRPr="00F471D9">
        <w:rPr>
          <w:rFonts w:ascii="Arial" w:hAnsi="Arial" w:cs="Arial"/>
          <w:sz w:val="24"/>
          <w:szCs w:val="24"/>
        </w:rPr>
        <w:t xml:space="preserve">sferencia de conocimiento a las empresas y diversos sectores productivos incluyendo los bienes y servicios público, privado, social, cultural, económico y educativo para contribuir al desarrollo regional. </w:t>
      </w:r>
      <w:r>
        <w:rPr>
          <w:rFonts w:ascii="Arial" w:hAnsi="Arial" w:cs="Arial"/>
          <w:sz w:val="24"/>
          <w:szCs w:val="24"/>
        </w:rPr>
        <w:t>“</w:t>
      </w:r>
      <w:r w:rsidRPr="00F471D9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 ejemplo es la Incubadora de ne</w:t>
      </w:r>
      <w:r w:rsidRPr="00F471D9">
        <w:rPr>
          <w:rFonts w:ascii="Arial" w:hAnsi="Arial" w:cs="Arial"/>
          <w:sz w:val="24"/>
          <w:szCs w:val="24"/>
        </w:rPr>
        <w:t xml:space="preserve">gocios UABC, el modelo de vinculación inteligente, las prácticas profesionales, </w:t>
      </w:r>
      <w:r>
        <w:rPr>
          <w:rFonts w:ascii="Arial" w:hAnsi="Arial" w:cs="Arial"/>
          <w:sz w:val="24"/>
          <w:szCs w:val="24"/>
        </w:rPr>
        <w:t xml:space="preserve">así como </w:t>
      </w:r>
      <w:r w:rsidRPr="00F471D9">
        <w:rPr>
          <w:rFonts w:ascii="Arial" w:hAnsi="Arial" w:cs="Arial"/>
          <w:sz w:val="24"/>
          <w:szCs w:val="24"/>
        </w:rPr>
        <w:t>los centros de negocios o consultorías y/o asesorías</w:t>
      </w:r>
      <w:r>
        <w:rPr>
          <w:rFonts w:ascii="Arial" w:hAnsi="Arial" w:cs="Arial"/>
          <w:sz w:val="24"/>
          <w:szCs w:val="24"/>
        </w:rPr>
        <w:t>”, refirió.</w:t>
      </w:r>
    </w:p>
    <w:p w:rsidR="00E4405A" w:rsidRPr="00E4405A" w:rsidRDefault="00E4405A" w:rsidP="00B037E1">
      <w:pPr>
        <w:autoSpaceDN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:rsidR="00E4405A" w:rsidRDefault="00E4405A" w:rsidP="00E4405A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Indicó que con estos programas innovadores ganan todos, ya que además de beneficiar a la sociedad en general, </w:t>
      </w:r>
      <w:r w:rsidR="00633395">
        <w:rPr>
          <w:rFonts w:ascii="Arial" w:hAnsi="Arial" w:cs="Arial"/>
          <w:sz w:val="24"/>
          <w:szCs w:val="24"/>
        </w:rPr>
        <w:t>progresan</w:t>
      </w:r>
      <w:r>
        <w:rPr>
          <w:rFonts w:ascii="Arial" w:hAnsi="Arial" w:cs="Arial"/>
          <w:sz w:val="24"/>
          <w:szCs w:val="24"/>
        </w:rPr>
        <w:t xml:space="preserve"> las empresas y los propios universitarios, principalmente los estudiantes quienes </w:t>
      </w:r>
      <w:r w:rsidR="00F471D9" w:rsidRPr="00F471D9">
        <w:rPr>
          <w:rFonts w:ascii="Arial" w:hAnsi="Arial" w:cs="Arial"/>
          <w:sz w:val="24"/>
          <w:szCs w:val="24"/>
        </w:rPr>
        <w:t xml:space="preserve">reciben la oportunidad de contar con formación situada, </w:t>
      </w:r>
      <w:r>
        <w:rPr>
          <w:rFonts w:ascii="Arial" w:hAnsi="Arial" w:cs="Arial"/>
          <w:sz w:val="24"/>
          <w:szCs w:val="24"/>
        </w:rPr>
        <w:t>“</w:t>
      </w:r>
      <w:r w:rsidR="00F471D9" w:rsidRPr="00F471D9">
        <w:rPr>
          <w:rFonts w:ascii="Arial" w:hAnsi="Arial" w:cs="Arial"/>
          <w:sz w:val="24"/>
          <w:szCs w:val="24"/>
        </w:rPr>
        <w:t xml:space="preserve">es decir, un espacio donde puedan asociar lo que aprenden </w:t>
      </w:r>
      <w:r>
        <w:rPr>
          <w:rFonts w:ascii="Arial" w:hAnsi="Arial" w:cs="Arial"/>
          <w:sz w:val="24"/>
          <w:szCs w:val="24"/>
        </w:rPr>
        <w:t>en el aula en una actividad viv</w:t>
      </w:r>
      <w:r w:rsidR="00F471D9" w:rsidRPr="00F471D9">
        <w:rPr>
          <w:rFonts w:ascii="Arial" w:hAnsi="Arial" w:cs="Arial"/>
          <w:sz w:val="24"/>
          <w:szCs w:val="24"/>
        </w:rPr>
        <w:t>encial y formativa en la empresa u organización</w:t>
      </w:r>
      <w:r>
        <w:rPr>
          <w:rFonts w:ascii="Arial" w:hAnsi="Arial" w:cs="Arial"/>
          <w:sz w:val="24"/>
          <w:szCs w:val="24"/>
        </w:rPr>
        <w:t>”</w:t>
      </w:r>
      <w:r w:rsidR="00F471D9" w:rsidRPr="00F471D9">
        <w:rPr>
          <w:rFonts w:ascii="Arial" w:hAnsi="Arial" w:cs="Arial"/>
          <w:sz w:val="24"/>
          <w:szCs w:val="24"/>
        </w:rPr>
        <w:t>.</w:t>
      </w:r>
    </w:p>
    <w:p w:rsidR="00E4405A" w:rsidRPr="00E4405A" w:rsidRDefault="00E4405A" w:rsidP="00E4405A">
      <w:pPr>
        <w:autoSpaceDN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:rsidR="00034687" w:rsidRPr="00F471D9" w:rsidRDefault="00633395" w:rsidP="00633395">
      <w:pPr>
        <w:autoSpaceDN/>
        <w:contextualSpacing/>
        <w:jc w:val="both"/>
        <w:textAlignment w:val="auto"/>
        <w:rPr>
          <w:rFonts w:ascii="Arial" w:hAnsi="Arial" w:cs="Arial"/>
          <w:color w:val="FF0000"/>
          <w:sz w:val="24"/>
          <w:szCs w:val="16"/>
        </w:rPr>
      </w:pPr>
      <w:r>
        <w:rPr>
          <w:rFonts w:ascii="Arial" w:hAnsi="Arial" w:cs="Arial"/>
          <w:sz w:val="24"/>
          <w:szCs w:val="24"/>
        </w:rPr>
        <w:t xml:space="preserve">Para finalizar, el doctor Toledo Sarracino señaló </w:t>
      </w:r>
      <w:r w:rsidR="00E4405A">
        <w:rPr>
          <w:rFonts w:ascii="Arial" w:hAnsi="Arial" w:cs="Arial"/>
          <w:sz w:val="24"/>
          <w:szCs w:val="24"/>
        </w:rPr>
        <w:t xml:space="preserve">que la </w:t>
      </w:r>
      <w:r w:rsidR="00F471D9" w:rsidRPr="00F471D9">
        <w:rPr>
          <w:rFonts w:ascii="Arial" w:hAnsi="Arial" w:cs="Arial"/>
          <w:sz w:val="24"/>
          <w:szCs w:val="24"/>
        </w:rPr>
        <w:t>vinculación de los programas educativos con las empresas, dependencias de gobierno, organismos públicos y privados, cámaras y asociaciones</w:t>
      </w:r>
      <w:r w:rsidR="00E4405A">
        <w:rPr>
          <w:rFonts w:ascii="Arial" w:hAnsi="Arial" w:cs="Arial"/>
          <w:sz w:val="24"/>
          <w:szCs w:val="24"/>
        </w:rPr>
        <w:t xml:space="preserve">, permiten </w:t>
      </w:r>
      <w:r w:rsidR="00F471D9" w:rsidRPr="00F471D9">
        <w:rPr>
          <w:rFonts w:ascii="Arial" w:hAnsi="Arial" w:cs="Arial"/>
          <w:sz w:val="24"/>
          <w:szCs w:val="24"/>
        </w:rPr>
        <w:t xml:space="preserve">articular la docencia y la </w:t>
      </w:r>
      <w:r w:rsidR="00F471D9">
        <w:rPr>
          <w:rFonts w:ascii="Arial" w:hAnsi="Arial" w:cs="Arial"/>
          <w:sz w:val="24"/>
          <w:szCs w:val="24"/>
        </w:rPr>
        <w:t>investigación</w:t>
      </w:r>
      <w:r w:rsidR="00F471D9" w:rsidRPr="00F471D9">
        <w:rPr>
          <w:rFonts w:ascii="Arial" w:hAnsi="Arial" w:cs="Arial"/>
          <w:sz w:val="24"/>
          <w:szCs w:val="24"/>
        </w:rPr>
        <w:t xml:space="preserve">, además de brindar al estudiante una formación en contexto laboral real. </w:t>
      </w:r>
    </w:p>
    <w:p w:rsidR="00E763D0" w:rsidRPr="00AC1CD0" w:rsidRDefault="00E763D0" w:rsidP="007A0CE7">
      <w:pPr>
        <w:jc w:val="right"/>
        <w:rPr>
          <w:rFonts w:ascii="Arial" w:hAnsi="Arial" w:cs="Arial"/>
          <w:color w:val="FFFFFF" w:themeColor="background1"/>
          <w:sz w:val="14"/>
          <w:szCs w:val="16"/>
        </w:rPr>
      </w:pPr>
      <w:r w:rsidRPr="00AC1CD0">
        <w:rPr>
          <w:rFonts w:ascii="Arial" w:hAnsi="Arial" w:cs="Arial"/>
          <w:color w:val="FFFFFF" w:themeColor="background1"/>
          <w:sz w:val="18"/>
          <w:szCs w:val="16"/>
        </w:rPr>
        <w:t xml:space="preserve">Redacción: </w:t>
      </w:r>
      <w:r w:rsidR="00034687" w:rsidRPr="00AC1CD0">
        <w:rPr>
          <w:rFonts w:ascii="Arial" w:hAnsi="Arial" w:cs="Arial"/>
          <w:color w:val="FFFFFF" w:themeColor="background1"/>
          <w:sz w:val="18"/>
          <w:szCs w:val="16"/>
        </w:rPr>
        <w:t>Norma Angélica Gómez Bravo</w:t>
      </w:r>
    </w:p>
    <w:sectPr w:rsidR="00E763D0" w:rsidRPr="00AC1CD0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F39" w:rsidRDefault="00697F39">
      <w:r>
        <w:separator/>
      </w:r>
    </w:p>
  </w:endnote>
  <w:endnote w:type="continuationSeparator" w:id="0">
    <w:p w:rsidR="00697F39" w:rsidRDefault="0069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F39" w:rsidRDefault="00697F39">
      <w:r>
        <w:rPr>
          <w:color w:val="000000"/>
        </w:rPr>
        <w:separator/>
      </w:r>
    </w:p>
  </w:footnote>
  <w:footnote w:type="continuationSeparator" w:id="0">
    <w:p w:rsidR="00697F39" w:rsidRDefault="00697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4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53F34"/>
    <w:multiLevelType w:val="hybridMultilevel"/>
    <w:tmpl w:val="E884C7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3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6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2514E"/>
    <w:multiLevelType w:val="hybridMultilevel"/>
    <w:tmpl w:val="FC447B6A"/>
    <w:lvl w:ilvl="0" w:tplc="20FCB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20"/>
  </w:num>
  <w:num w:numId="4">
    <w:abstractNumId w:val="24"/>
  </w:num>
  <w:num w:numId="5">
    <w:abstractNumId w:val="15"/>
  </w:num>
  <w:num w:numId="6">
    <w:abstractNumId w:val="29"/>
  </w:num>
  <w:num w:numId="7">
    <w:abstractNumId w:val="31"/>
  </w:num>
  <w:num w:numId="8">
    <w:abstractNumId w:val="2"/>
  </w:num>
  <w:num w:numId="9">
    <w:abstractNumId w:val="39"/>
  </w:num>
  <w:num w:numId="10">
    <w:abstractNumId w:val="36"/>
  </w:num>
  <w:num w:numId="11">
    <w:abstractNumId w:val="6"/>
  </w:num>
  <w:num w:numId="12">
    <w:abstractNumId w:val="3"/>
  </w:num>
  <w:num w:numId="13">
    <w:abstractNumId w:val="21"/>
  </w:num>
  <w:num w:numId="14">
    <w:abstractNumId w:val="4"/>
  </w:num>
  <w:num w:numId="15">
    <w:abstractNumId w:val="38"/>
  </w:num>
  <w:num w:numId="16">
    <w:abstractNumId w:val="10"/>
  </w:num>
  <w:num w:numId="17">
    <w:abstractNumId w:val="23"/>
  </w:num>
  <w:num w:numId="18">
    <w:abstractNumId w:val="19"/>
  </w:num>
  <w:num w:numId="19">
    <w:abstractNumId w:val="14"/>
  </w:num>
  <w:num w:numId="20">
    <w:abstractNumId w:val="23"/>
  </w:num>
  <w:num w:numId="21">
    <w:abstractNumId w:val="26"/>
  </w:num>
  <w:num w:numId="22">
    <w:abstractNumId w:val="8"/>
  </w:num>
  <w:num w:numId="23">
    <w:abstractNumId w:val="27"/>
  </w:num>
  <w:num w:numId="24">
    <w:abstractNumId w:val="40"/>
  </w:num>
  <w:num w:numId="25">
    <w:abstractNumId w:val="12"/>
  </w:num>
  <w:num w:numId="26">
    <w:abstractNumId w:val="13"/>
  </w:num>
  <w:num w:numId="27">
    <w:abstractNumId w:val="16"/>
  </w:num>
  <w:num w:numId="28">
    <w:abstractNumId w:val="37"/>
  </w:num>
  <w:num w:numId="29">
    <w:abstractNumId w:val="5"/>
  </w:num>
  <w:num w:numId="30">
    <w:abstractNumId w:val="35"/>
  </w:num>
  <w:num w:numId="31">
    <w:abstractNumId w:val="11"/>
  </w:num>
  <w:num w:numId="32">
    <w:abstractNumId w:val="1"/>
  </w:num>
  <w:num w:numId="33">
    <w:abstractNumId w:val="30"/>
  </w:num>
  <w:num w:numId="34">
    <w:abstractNumId w:val="9"/>
  </w:num>
  <w:num w:numId="35">
    <w:abstractNumId w:val="17"/>
  </w:num>
  <w:num w:numId="36">
    <w:abstractNumId w:val="25"/>
  </w:num>
  <w:num w:numId="37">
    <w:abstractNumId w:val="22"/>
  </w:num>
  <w:num w:numId="38">
    <w:abstractNumId w:val="0"/>
  </w:num>
  <w:num w:numId="39">
    <w:abstractNumId w:val="7"/>
  </w:num>
  <w:num w:numId="40">
    <w:abstractNumId w:val="32"/>
  </w:num>
  <w:num w:numId="41">
    <w:abstractNumId w:val="18"/>
  </w:num>
  <w:num w:numId="42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26C6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4326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27D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0BE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4ED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395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97F39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4DBC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ED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81A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7A3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D77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74A"/>
    <w:rsid w:val="009F3B2C"/>
    <w:rsid w:val="009F3BD6"/>
    <w:rsid w:val="009F3E95"/>
    <w:rsid w:val="009F3F16"/>
    <w:rsid w:val="009F4026"/>
    <w:rsid w:val="009F406C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CD0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37E1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969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8EB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05A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6E0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4F41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1D9"/>
    <w:rsid w:val="00F47213"/>
    <w:rsid w:val="00F47449"/>
    <w:rsid w:val="00F477ED"/>
    <w:rsid w:val="00F47A2F"/>
    <w:rsid w:val="00F50670"/>
    <w:rsid w:val="00F50852"/>
    <w:rsid w:val="00F5087D"/>
    <w:rsid w:val="00F5100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3F31DF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gvca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1C4B3-667F-412A-9884-4D1C0C5D4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486</Words>
  <Characters>2677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4</cp:revision>
  <cp:lastPrinted>2020-03-12T17:46:00Z</cp:lastPrinted>
  <dcterms:created xsi:type="dcterms:W3CDTF">2020-10-12T21:53:00Z</dcterms:created>
  <dcterms:modified xsi:type="dcterms:W3CDTF">2020-10-12T22:00:00Z</dcterms:modified>
</cp:coreProperties>
</file>