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905885" w:rsidRPr="00905885">
        <w:rPr>
          <w:rFonts w:ascii="Arial" w:hAnsi="Arial" w:cs="Arial"/>
          <w:b/>
          <w:sz w:val="24"/>
          <w:szCs w:val="24"/>
        </w:rPr>
        <w:t>6</w:t>
      </w:r>
      <w:r w:rsidR="00B3594B">
        <w:rPr>
          <w:rFonts w:ascii="Arial" w:hAnsi="Arial" w:cs="Arial"/>
          <w:b/>
          <w:sz w:val="24"/>
          <w:szCs w:val="24"/>
        </w:rPr>
        <w:t>9</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2015B6" w:rsidRPr="002015B6" w:rsidRDefault="002015B6" w:rsidP="00B3594B">
      <w:pPr>
        <w:jc w:val="center"/>
        <w:rPr>
          <w:rFonts w:ascii="Arial" w:hAnsi="Arial" w:cs="Arial"/>
          <w:b/>
          <w:color w:val="FF0000"/>
          <w:sz w:val="16"/>
          <w:szCs w:val="16"/>
        </w:rPr>
      </w:pPr>
    </w:p>
    <w:p w:rsidR="002015B6" w:rsidRDefault="00973636" w:rsidP="00973636">
      <w:pPr>
        <w:shd w:val="clear" w:color="auto" w:fill="FFFFFF"/>
        <w:jc w:val="center"/>
        <w:textAlignment w:val="top"/>
        <w:rPr>
          <w:rFonts w:ascii="Arial" w:hAnsi="Arial" w:cs="Arial"/>
          <w:b/>
          <w:sz w:val="36"/>
          <w:szCs w:val="24"/>
        </w:rPr>
      </w:pPr>
      <w:r w:rsidRPr="00973636">
        <w:rPr>
          <w:rFonts w:ascii="Arial" w:hAnsi="Arial" w:cs="Arial"/>
          <w:b/>
          <w:sz w:val="36"/>
          <w:szCs w:val="24"/>
        </w:rPr>
        <w:t>Destaca liderazgo educativo de UABC en Latinoamérica</w:t>
      </w:r>
    </w:p>
    <w:p w:rsidR="00973636" w:rsidRPr="00973636" w:rsidRDefault="00973636" w:rsidP="00973636">
      <w:pPr>
        <w:shd w:val="clear" w:color="auto" w:fill="FFFFFF"/>
        <w:jc w:val="center"/>
        <w:textAlignment w:val="top"/>
        <w:rPr>
          <w:rFonts w:ascii="Arial" w:hAnsi="Arial" w:cs="Arial"/>
          <w:sz w:val="24"/>
          <w:szCs w:val="24"/>
          <w:shd w:val="clear" w:color="auto" w:fill="FFFFFF"/>
        </w:rPr>
      </w:pPr>
      <w:bookmarkStart w:id="1" w:name="_GoBack"/>
      <w:bookmarkEnd w:id="1"/>
    </w:p>
    <w:p w:rsidR="002015B6" w:rsidRPr="002015B6" w:rsidRDefault="002015B6" w:rsidP="002015B6">
      <w:pPr>
        <w:pStyle w:val="Prrafodelista"/>
        <w:numPr>
          <w:ilvl w:val="0"/>
          <w:numId w:val="48"/>
        </w:numPr>
        <w:shd w:val="clear" w:color="auto" w:fill="FFFFFF"/>
        <w:ind w:left="284" w:hanging="284"/>
        <w:jc w:val="both"/>
        <w:textAlignment w:val="top"/>
        <w:rPr>
          <w:rFonts w:ascii="Arial" w:hAnsi="Arial" w:cs="Arial"/>
          <w:color w:val="212529"/>
          <w:sz w:val="24"/>
          <w:szCs w:val="24"/>
          <w:shd w:val="clear" w:color="auto" w:fill="FFFFFF"/>
        </w:rPr>
      </w:pPr>
      <w:r w:rsidRPr="002015B6">
        <w:rPr>
          <w:rFonts w:ascii="Arial" w:hAnsi="Arial" w:cs="Arial"/>
          <w:color w:val="212529"/>
          <w:sz w:val="24"/>
          <w:szCs w:val="24"/>
          <w:shd w:val="clear" w:color="auto" w:fill="FFFFFF"/>
        </w:rPr>
        <w:t xml:space="preserve">En la reciente publicación de resultados del </w:t>
      </w:r>
      <w:r w:rsidRPr="002015B6">
        <w:rPr>
          <w:rFonts w:ascii="Arial" w:hAnsi="Arial" w:cs="Arial"/>
          <w:color w:val="000000"/>
          <w:sz w:val="24"/>
          <w:szCs w:val="24"/>
          <w:lang w:val="es-ES" w:eastAsia="es-ES"/>
        </w:rPr>
        <w:t xml:space="preserve">Times Higher Education (THE) </w:t>
      </w:r>
      <w:r w:rsidRPr="002015B6">
        <w:rPr>
          <w:rFonts w:ascii="Arial" w:hAnsi="Arial" w:cs="Arial"/>
          <w:color w:val="212529"/>
          <w:sz w:val="24"/>
          <w:szCs w:val="24"/>
          <w:shd w:val="clear" w:color="auto" w:fill="FFFFFF"/>
        </w:rPr>
        <w:t>World University Rankings 2021 por área de conocimiento.</w:t>
      </w:r>
    </w:p>
    <w:p w:rsidR="00B3594B" w:rsidRPr="002015B6" w:rsidRDefault="00B3594B" w:rsidP="00B3594B">
      <w:pPr>
        <w:shd w:val="clear" w:color="auto" w:fill="FFFFFF"/>
        <w:textAlignment w:val="top"/>
        <w:rPr>
          <w:rFonts w:ascii="Arial" w:hAnsi="Arial" w:cs="Arial"/>
          <w:color w:val="212529"/>
          <w:sz w:val="20"/>
          <w:szCs w:val="20"/>
          <w:shd w:val="clear" w:color="auto" w:fill="FFFFFF"/>
        </w:rPr>
      </w:pPr>
    </w:p>
    <w:p w:rsidR="00B3594B" w:rsidRDefault="00B3594B" w:rsidP="007A301A">
      <w:pPr>
        <w:shd w:val="clear" w:color="auto" w:fill="FFFFFF"/>
        <w:jc w:val="both"/>
        <w:textAlignment w:val="top"/>
        <w:rPr>
          <w:rFonts w:ascii="Arial" w:hAnsi="Arial" w:cs="Arial"/>
          <w:color w:val="212529"/>
          <w:sz w:val="24"/>
          <w:szCs w:val="24"/>
          <w:shd w:val="clear" w:color="auto" w:fill="FFFFFF"/>
        </w:rPr>
      </w:pPr>
      <w:r w:rsidRPr="00B3594B">
        <w:rPr>
          <w:rFonts w:ascii="Arial" w:hAnsi="Arial" w:cs="Arial"/>
          <w:b/>
          <w:color w:val="212529"/>
          <w:sz w:val="24"/>
          <w:szCs w:val="24"/>
          <w:shd w:val="clear" w:color="auto" w:fill="FFFFFF"/>
        </w:rPr>
        <w:t>Mexicali, B.C., lunes 9 de noviembre de 2020</w:t>
      </w:r>
      <w:r>
        <w:rPr>
          <w:rFonts w:ascii="Arial" w:hAnsi="Arial" w:cs="Arial"/>
          <w:color w:val="212529"/>
          <w:sz w:val="24"/>
          <w:szCs w:val="24"/>
          <w:shd w:val="clear" w:color="auto" w:fill="FFFFFF"/>
        </w:rPr>
        <w:t>.- L</w:t>
      </w:r>
      <w:r w:rsidRPr="00B3594B">
        <w:rPr>
          <w:rFonts w:ascii="Arial" w:hAnsi="Arial" w:cs="Arial"/>
          <w:color w:val="212529"/>
          <w:sz w:val="24"/>
          <w:szCs w:val="24"/>
          <w:shd w:val="clear" w:color="auto" w:fill="FFFFFF"/>
        </w:rPr>
        <w:t>a</w:t>
      </w:r>
      <w:r>
        <w:rPr>
          <w:rFonts w:ascii="Arial" w:hAnsi="Arial" w:cs="Arial"/>
          <w:color w:val="212529"/>
          <w:sz w:val="24"/>
          <w:szCs w:val="24"/>
          <w:shd w:val="clear" w:color="auto" w:fill="FFFFFF"/>
        </w:rPr>
        <w:t xml:space="preserve"> Universidad Autónoma de Baja California (</w:t>
      </w:r>
      <w:r w:rsidRPr="00B3594B">
        <w:rPr>
          <w:rFonts w:ascii="Arial" w:hAnsi="Arial" w:cs="Arial"/>
          <w:color w:val="212529"/>
          <w:sz w:val="24"/>
          <w:szCs w:val="24"/>
          <w:shd w:val="clear" w:color="auto" w:fill="FFFFFF"/>
        </w:rPr>
        <w:t>UABC</w:t>
      </w:r>
      <w:r>
        <w:rPr>
          <w:rFonts w:ascii="Arial" w:hAnsi="Arial" w:cs="Arial"/>
          <w:color w:val="212529"/>
          <w:sz w:val="24"/>
          <w:szCs w:val="24"/>
          <w:shd w:val="clear" w:color="auto" w:fill="FFFFFF"/>
        </w:rPr>
        <w:t>)</w:t>
      </w:r>
      <w:r w:rsidRPr="00B3594B">
        <w:rPr>
          <w:rFonts w:ascii="Arial" w:hAnsi="Arial" w:cs="Arial"/>
          <w:color w:val="212529"/>
          <w:sz w:val="24"/>
          <w:szCs w:val="24"/>
          <w:shd w:val="clear" w:color="auto" w:fill="FFFFFF"/>
        </w:rPr>
        <w:t xml:space="preserve"> refrendó su posición como una de las universidades más importantes de México y de Latinoamérica, destacándose por su desempeño en las áreas de la </w:t>
      </w:r>
      <w:r w:rsidR="007A301A" w:rsidRPr="00B3594B">
        <w:rPr>
          <w:rFonts w:ascii="Arial" w:hAnsi="Arial" w:cs="Arial"/>
          <w:color w:val="212529"/>
          <w:sz w:val="24"/>
          <w:szCs w:val="24"/>
          <w:shd w:val="clear" w:color="auto" w:fill="FFFFFF"/>
        </w:rPr>
        <w:t xml:space="preserve">ingeniería y tecnología, educación, ciencias de la vida y </w:t>
      </w:r>
      <w:r w:rsidR="007A301A">
        <w:rPr>
          <w:rFonts w:ascii="Arial" w:hAnsi="Arial" w:cs="Arial"/>
          <w:color w:val="212529"/>
          <w:sz w:val="24"/>
          <w:szCs w:val="24"/>
          <w:shd w:val="clear" w:color="auto" w:fill="FFFFFF"/>
        </w:rPr>
        <w:t>ciencias físicas</w:t>
      </w:r>
      <w:r>
        <w:rPr>
          <w:rFonts w:ascii="Arial" w:hAnsi="Arial" w:cs="Arial"/>
          <w:color w:val="212529"/>
          <w:sz w:val="24"/>
          <w:szCs w:val="24"/>
          <w:shd w:val="clear" w:color="auto" w:fill="FFFFFF"/>
        </w:rPr>
        <w:t>, e</w:t>
      </w:r>
      <w:r w:rsidRPr="00B3594B">
        <w:rPr>
          <w:rFonts w:ascii="Arial" w:hAnsi="Arial" w:cs="Arial"/>
          <w:color w:val="212529"/>
          <w:sz w:val="24"/>
          <w:szCs w:val="24"/>
          <w:shd w:val="clear" w:color="auto" w:fill="FFFFFF"/>
        </w:rPr>
        <w:t xml:space="preserve">n la reciente publicación de resultados del </w:t>
      </w:r>
      <w:r w:rsidRPr="00B3594B">
        <w:rPr>
          <w:rFonts w:ascii="Arial" w:hAnsi="Arial" w:cs="Arial"/>
          <w:color w:val="000000"/>
          <w:sz w:val="24"/>
          <w:szCs w:val="24"/>
          <w:lang w:val="es-ES" w:eastAsia="es-ES"/>
        </w:rPr>
        <w:t xml:space="preserve">Times Higher Education (THE) </w:t>
      </w:r>
      <w:r w:rsidRPr="00B3594B">
        <w:rPr>
          <w:rFonts w:ascii="Arial" w:hAnsi="Arial" w:cs="Arial"/>
          <w:color w:val="212529"/>
          <w:sz w:val="24"/>
          <w:szCs w:val="24"/>
          <w:shd w:val="clear" w:color="auto" w:fill="FFFFFF"/>
        </w:rPr>
        <w:t>World University Rankings 2021 por área de conocimiento</w:t>
      </w:r>
      <w:r>
        <w:rPr>
          <w:rFonts w:ascii="Arial" w:hAnsi="Arial" w:cs="Arial"/>
          <w:color w:val="212529"/>
          <w:sz w:val="24"/>
          <w:szCs w:val="24"/>
          <w:shd w:val="clear" w:color="auto" w:fill="FFFFFF"/>
        </w:rPr>
        <w:t>.</w:t>
      </w:r>
    </w:p>
    <w:p w:rsidR="00B3594B" w:rsidRPr="002015B6" w:rsidRDefault="00B3594B" w:rsidP="007A301A">
      <w:pPr>
        <w:shd w:val="clear" w:color="auto" w:fill="FFFFFF"/>
        <w:jc w:val="both"/>
        <w:textAlignment w:val="top"/>
        <w:rPr>
          <w:rFonts w:ascii="Arial" w:hAnsi="Arial" w:cs="Arial"/>
          <w:color w:val="212529"/>
          <w:sz w:val="20"/>
          <w:szCs w:val="20"/>
          <w:shd w:val="clear" w:color="auto" w:fill="FFFFFF"/>
        </w:rPr>
      </w:pPr>
    </w:p>
    <w:p w:rsidR="00B3594B" w:rsidRDefault="00B3594B" w:rsidP="007A301A">
      <w:pPr>
        <w:shd w:val="clear" w:color="auto" w:fill="FFFFFF"/>
        <w:jc w:val="both"/>
        <w:textAlignment w:val="top"/>
        <w:rPr>
          <w:rFonts w:ascii="Arial" w:hAnsi="Arial" w:cs="Arial"/>
          <w:color w:val="000000"/>
          <w:sz w:val="24"/>
          <w:szCs w:val="24"/>
          <w:lang w:val="es-ES" w:eastAsia="es-ES"/>
        </w:rPr>
      </w:pPr>
      <w:r w:rsidRPr="00B3594B">
        <w:rPr>
          <w:rFonts w:ascii="Arial" w:hAnsi="Arial" w:cs="Arial"/>
          <w:color w:val="212529"/>
          <w:sz w:val="24"/>
          <w:szCs w:val="24"/>
          <w:shd w:val="clear" w:color="auto" w:fill="FFFFFF"/>
        </w:rPr>
        <w:t xml:space="preserve">Este ranking deriva de un análisis complementario que realiza </w:t>
      </w:r>
      <w:r w:rsidRPr="00B3594B">
        <w:rPr>
          <w:rFonts w:ascii="Arial" w:hAnsi="Arial" w:cs="Arial"/>
          <w:color w:val="000000"/>
          <w:sz w:val="24"/>
          <w:szCs w:val="24"/>
          <w:lang w:val="es-ES" w:eastAsia="es-ES"/>
        </w:rPr>
        <w:t>THE en el que se reconoció el desempeño de las 1,500 mejores instituciones de educación superior del mundo con presencia en 93 países, con base en diversos criterios relacionados con la</w:t>
      </w:r>
      <w:r w:rsidRPr="00B3594B">
        <w:rPr>
          <w:rFonts w:ascii="Arial" w:hAnsi="Arial" w:cs="Arial"/>
          <w:color w:val="212529"/>
          <w:sz w:val="24"/>
          <w:szCs w:val="24"/>
          <w:shd w:val="clear" w:color="auto" w:fill="FFFFFF"/>
        </w:rPr>
        <w:t xml:space="preserve"> </w:t>
      </w:r>
      <w:r w:rsidRPr="00B3594B">
        <w:rPr>
          <w:rFonts w:ascii="Arial" w:hAnsi="Arial" w:cs="Arial"/>
          <w:color w:val="000000"/>
          <w:sz w:val="24"/>
          <w:szCs w:val="24"/>
          <w:lang w:val="es-ES" w:eastAsia="es-ES"/>
        </w:rPr>
        <w:t>docencia, investigación, transferencia del conocimiento y prácticas de internacionalización, registrando los siguientes resultados:</w:t>
      </w:r>
    </w:p>
    <w:p w:rsidR="00B3594B" w:rsidRPr="002015B6" w:rsidRDefault="00B3594B" w:rsidP="007A301A">
      <w:pPr>
        <w:shd w:val="clear" w:color="auto" w:fill="FFFFFF"/>
        <w:jc w:val="both"/>
        <w:textAlignment w:val="top"/>
        <w:rPr>
          <w:rFonts w:ascii="Arial" w:hAnsi="Arial" w:cs="Arial"/>
          <w:color w:val="000000"/>
          <w:sz w:val="20"/>
          <w:szCs w:val="20"/>
          <w:lang w:val="es-ES" w:eastAsia="es-ES"/>
        </w:rPr>
      </w:pPr>
    </w:p>
    <w:p w:rsidR="00B3594B" w:rsidRPr="00B3594B" w:rsidRDefault="00B3594B" w:rsidP="007A301A">
      <w:pPr>
        <w:pStyle w:val="Prrafodelista"/>
        <w:numPr>
          <w:ilvl w:val="0"/>
          <w:numId w:val="47"/>
        </w:numPr>
        <w:shd w:val="clear" w:color="auto" w:fill="FFFFFF"/>
        <w:tabs>
          <w:tab w:val="left" w:pos="284"/>
        </w:tabs>
        <w:autoSpaceDN/>
        <w:ind w:left="0" w:firstLine="0"/>
        <w:contextualSpacing/>
        <w:jc w:val="both"/>
        <w:textAlignment w:val="top"/>
        <w:rPr>
          <w:rFonts w:ascii="Arial" w:hAnsi="Arial" w:cs="Arial"/>
          <w:color w:val="000000"/>
          <w:sz w:val="24"/>
          <w:szCs w:val="24"/>
          <w:lang w:val="es-ES" w:eastAsia="es-ES"/>
        </w:rPr>
      </w:pPr>
      <w:r w:rsidRPr="00B3594B">
        <w:rPr>
          <w:rFonts w:ascii="Arial" w:hAnsi="Arial" w:cs="Arial"/>
          <w:color w:val="000000"/>
          <w:sz w:val="24"/>
          <w:szCs w:val="24"/>
          <w:lang w:val="es-ES" w:eastAsia="es-ES"/>
        </w:rPr>
        <w:t xml:space="preserve">Primer lugar entre las Universidades Públicas Estatales en el área </w:t>
      </w:r>
      <w:r w:rsidR="007A301A" w:rsidRPr="00B3594B">
        <w:rPr>
          <w:rFonts w:ascii="Arial" w:hAnsi="Arial" w:cs="Arial"/>
          <w:color w:val="000000"/>
          <w:sz w:val="24"/>
          <w:szCs w:val="24"/>
          <w:lang w:val="es-ES" w:eastAsia="es-ES"/>
        </w:rPr>
        <w:t>de ingeniería y tecnología</w:t>
      </w:r>
      <w:r w:rsidRPr="00B3594B">
        <w:rPr>
          <w:rFonts w:ascii="Arial" w:hAnsi="Arial" w:cs="Arial"/>
          <w:color w:val="000000"/>
          <w:sz w:val="24"/>
          <w:szCs w:val="24"/>
          <w:lang w:val="es-ES" w:eastAsia="es-ES"/>
        </w:rPr>
        <w:t>, misma que incluye a las ingenierías eléctrica, electrónica, mecánica, civil, aeroespacial y química.</w:t>
      </w:r>
    </w:p>
    <w:p w:rsidR="00B3594B" w:rsidRPr="00B3594B" w:rsidRDefault="00B3594B" w:rsidP="007A301A">
      <w:pPr>
        <w:pStyle w:val="Prrafodelista"/>
        <w:shd w:val="clear" w:color="auto" w:fill="FFFFFF"/>
        <w:tabs>
          <w:tab w:val="left" w:pos="284"/>
        </w:tabs>
        <w:ind w:left="0"/>
        <w:jc w:val="both"/>
        <w:textAlignment w:val="top"/>
        <w:rPr>
          <w:rFonts w:ascii="Arial" w:hAnsi="Arial" w:cs="Arial"/>
          <w:color w:val="000000"/>
          <w:sz w:val="24"/>
          <w:szCs w:val="24"/>
          <w:lang w:val="es-ES" w:eastAsia="es-ES"/>
        </w:rPr>
      </w:pPr>
    </w:p>
    <w:p w:rsidR="00B3594B" w:rsidRPr="00B3594B" w:rsidRDefault="00B3594B" w:rsidP="007A301A">
      <w:pPr>
        <w:pStyle w:val="Prrafodelista"/>
        <w:numPr>
          <w:ilvl w:val="0"/>
          <w:numId w:val="47"/>
        </w:numPr>
        <w:shd w:val="clear" w:color="auto" w:fill="FFFFFF"/>
        <w:tabs>
          <w:tab w:val="left" w:pos="284"/>
        </w:tabs>
        <w:autoSpaceDN/>
        <w:ind w:left="0" w:firstLine="0"/>
        <w:contextualSpacing/>
        <w:jc w:val="both"/>
        <w:textAlignment w:val="top"/>
        <w:rPr>
          <w:rFonts w:ascii="Arial" w:hAnsi="Arial" w:cs="Arial"/>
          <w:color w:val="000000"/>
          <w:sz w:val="24"/>
          <w:szCs w:val="24"/>
          <w:lang w:val="es-ES" w:eastAsia="es-ES"/>
        </w:rPr>
      </w:pPr>
      <w:r w:rsidRPr="00B3594B">
        <w:rPr>
          <w:rFonts w:ascii="Arial" w:hAnsi="Arial" w:cs="Arial"/>
          <w:color w:val="000000"/>
          <w:sz w:val="24"/>
          <w:szCs w:val="24"/>
          <w:lang w:val="es-ES" w:eastAsia="es-ES"/>
        </w:rPr>
        <w:t xml:space="preserve">Primer lugar entre las Universidades Públicas Estatales en el área de </w:t>
      </w:r>
      <w:r w:rsidR="007A301A">
        <w:rPr>
          <w:rFonts w:ascii="Arial" w:hAnsi="Arial" w:cs="Arial"/>
          <w:color w:val="000000"/>
          <w:sz w:val="24"/>
          <w:szCs w:val="24"/>
          <w:lang w:val="es-ES" w:eastAsia="es-ES"/>
        </w:rPr>
        <w:t>e</w:t>
      </w:r>
      <w:r w:rsidRPr="00B3594B">
        <w:rPr>
          <w:rFonts w:ascii="Arial" w:hAnsi="Arial" w:cs="Arial"/>
          <w:color w:val="000000"/>
          <w:sz w:val="24"/>
          <w:szCs w:val="24"/>
          <w:lang w:val="es-ES" w:eastAsia="es-ES"/>
        </w:rPr>
        <w:t>ducación, en disciplinas que incluyen la formación de docentes e investigadores en el área educativa, así como los estudios académicos en este ámbito.</w:t>
      </w:r>
    </w:p>
    <w:p w:rsidR="00B3594B" w:rsidRPr="00B3594B" w:rsidRDefault="00B3594B" w:rsidP="007A301A">
      <w:pPr>
        <w:pStyle w:val="Prrafodelista"/>
        <w:shd w:val="clear" w:color="auto" w:fill="FFFFFF"/>
        <w:tabs>
          <w:tab w:val="left" w:pos="284"/>
        </w:tabs>
        <w:ind w:left="0"/>
        <w:jc w:val="both"/>
        <w:textAlignment w:val="top"/>
        <w:rPr>
          <w:rFonts w:ascii="Arial" w:hAnsi="Arial" w:cs="Arial"/>
          <w:color w:val="000000"/>
          <w:sz w:val="24"/>
          <w:szCs w:val="24"/>
          <w:lang w:val="es-ES" w:eastAsia="es-ES"/>
        </w:rPr>
      </w:pPr>
    </w:p>
    <w:p w:rsidR="00B3594B" w:rsidRPr="00B3594B" w:rsidRDefault="00B3594B" w:rsidP="007A301A">
      <w:pPr>
        <w:pStyle w:val="Prrafodelista"/>
        <w:numPr>
          <w:ilvl w:val="0"/>
          <w:numId w:val="47"/>
        </w:numPr>
        <w:shd w:val="clear" w:color="auto" w:fill="FFFFFF"/>
        <w:tabs>
          <w:tab w:val="left" w:pos="284"/>
        </w:tabs>
        <w:autoSpaceDN/>
        <w:ind w:left="0" w:firstLine="0"/>
        <w:contextualSpacing/>
        <w:jc w:val="both"/>
        <w:textAlignment w:val="top"/>
        <w:rPr>
          <w:rFonts w:ascii="Arial" w:hAnsi="Arial" w:cs="Arial"/>
          <w:color w:val="000000"/>
          <w:sz w:val="24"/>
          <w:szCs w:val="24"/>
          <w:lang w:val="es-ES" w:eastAsia="es-ES"/>
        </w:rPr>
      </w:pPr>
      <w:r w:rsidRPr="00B3594B">
        <w:rPr>
          <w:rFonts w:ascii="Arial" w:hAnsi="Arial" w:cs="Arial"/>
          <w:color w:val="000000"/>
          <w:sz w:val="24"/>
          <w:szCs w:val="24"/>
          <w:lang w:val="es-ES" w:eastAsia="es-ES"/>
        </w:rPr>
        <w:t xml:space="preserve">Tercer lugar entre las Universidades Públicas Estatales en el área </w:t>
      </w:r>
      <w:r w:rsidR="007A301A">
        <w:rPr>
          <w:rFonts w:ascii="Arial" w:hAnsi="Arial" w:cs="Arial"/>
          <w:color w:val="000000"/>
          <w:sz w:val="24"/>
          <w:szCs w:val="24"/>
          <w:lang w:val="es-ES" w:eastAsia="es-ES"/>
        </w:rPr>
        <w:t>c</w:t>
      </w:r>
      <w:r w:rsidRPr="00B3594B">
        <w:rPr>
          <w:rFonts w:ascii="Arial" w:hAnsi="Arial" w:cs="Arial"/>
          <w:color w:val="000000"/>
          <w:sz w:val="24"/>
          <w:szCs w:val="24"/>
          <w:lang w:val="es-ES" w:eastAsia="es-ES"/>
        </w:rPr>
        <w:t>iencias de la vida la cual incluye a las ciencias biológicas, las ciencias agrícolas, la biología, la veterinaria y el deporte.</w:t>
      </w:r>
    </w:p>
    <w:p w:rsidR="00B3594B" w:rsidRPr="00B3594B" w:rsidRDefault="00B3594B" w:rsidP="007A301A">
      <w:pPr>
        <w:pStyle w:val="Prrafodelista"/>
        <w:rPr>
          <w:rFonts w:ascii="Arial" w:hAnsi="Arial" w:cs="Arial"/>
          <w:color w:val="000000"/>
          <w:sz w:val="24"/>
          <w:szCs w:val="24"/>
          <w:lang w:val="es-ES" w:eastAsia="es-ES"/>
        </w:rPr>
      </w:pPr>
    </w:p>
    <w:p w:rsidR="00B3594B" w:rsidRDefault="00B3594B" w:rsidP="007A301A">
      <w:pPr>
        <w:pStyle w:val="Prrafodelista"/>
        <w:numPr>
          <w:ilvl w:val="0"/>
          <w:numId w:val="47"/>
        </w:numPr>
        <w:shd w:val="clear" w:color="auto" w:fill="FFFFFF"/>
        <w:tabs>
          <w:tab w:val="left" w:pos="284"/>
        </w:tabs>
        <w:autoSpaceDN/>
        <w:ind w:left="0" w:firstLine="0"/>
        <w:contextualSpacing/>
        <w:jc w:val="both"/>
        <w:textAlignment w:val="top"/>
        <w:rPr>
          <w:rFonts w:ascii="Arial" w:hAnsi="Arial" w:cs="Arial"/>
          <w:color w:val="000000"/>
          <w:sz w:val="24"/>
          <w:szCs w:val="24"/>
          <w:lang w:val="es-ES" w:eastAsia="es-ES"/>
        </w:rPr>
      </w:pPr>
      <w:r w:rsidRPr="00B3594B">
        <w:rPr>
          <w:rFonts w:ascii="Arial" w:hAnsi="Arial" w:cs="Arial"/>
          <w:color w:val="000000"/>
          <w:sz w:val="24"/>
          <w:szCs w:val="24"/>
          <w:lang w:val="es-ES" w:eastAsia="es-ES"/>
        </w:rPr>
        <w:t xml:space="preserve">Cuarto lugar entre las Universidades Públicas Estatales en el área </w:t>
      </w:r>
      <w:r w:rsidR="007A301A">
        <w:rPr>
          <w:rFonts w:ascii="Arial" w:hAnsi="Arial" w:cs="Arial"/>
          <w:color w:val="000000"/>
          <w:sz w:val="24"/>
          <w:szCs w:val="24"/>
          <w:lang w:val="es-ES" w:eastAsia="es-ES"/>
        </w:rPr>
        <w:t>c</w:t>
      </w:r>
      <w:r w:rsidRPr="00B3594B">
        <w:rPr>
          <w:rFonts w:ascii="Arial" w:hAnsi="Arial" w:cs="Arial"/>
          <w:color w:val="000000"/>
          <w:sz w:val="24"/>
          <w:szCs w:val="24"/>
          <w:lang w:val="es-ES" w:eastAsia="es-ES"/>
        </w:rPr>
        <w:t>iencias físicas, misma que considera disciplina tales como matemáticas, física, química, ciencias marinas, ciencias de la tierra y ambientales.</w:t>
      </w:r>
    </w:p>
    <w:p w:rsidR="002015B6" w:rsidRPr="002015B6" w:rsidRDefault="002015B6" w:rsidP="007A301A">
      <w:pPr>
        <w:pStyle w:val="Prrafodelista"/>
        <w:shd w:val="clear" w:color="auto" w:fill="FFFFFF"/>
        <w:tabs>
          <w:tab w:val="left" w:pos="284"/>
        </w:tabs>
        <w:ind w:left="0"/>
        <w:jc w:val="both"/>
        <w:textAlignment w:val="top"/>
        <w:rPr>
          <w:rFonts w:ascii="Arial" w:hAnsi="Arial" w:cs="Arial"/>
          <w:color w:val="000000"/>
          <w:sz w:val="20"/>
          <w:szCs w:val="20"/>
          <w:lang w:val="es-ES" w:eastAsia="es-ES"/>
        </w:rPr>
      </w:pPr>
    </w:p>
    <w:p w:rsidR="00B3594B" w:rsidRPr="00B3594B" w:rsidRDefault="00B3594B" w:rsidP="007A301A">
      <w:pPr>
        <w:pStyle w:val="Prrafodelista"/>
        <w:shd w:val="clear" w:color="auto" w:fill="FFFFFF"/>
        <w:tabs>
          <w:tab w:val="left" w:pos="284"/>
        </w:tabs>
        <w:ind w:left="0"/>
        <w:jc w:val="both"/>
        <w:textAlignment w:val="top"/>
        <w:rPr>
          <w:rFonts w:ascii="Arial" w:hAnsi="Arial" w:cs="Arial"/>
          <w:color w:val="000000"/>
          <w:sz w:val="24"/>
          <w:szCs w:val="24"/>
          <w:lang w:val="es-ES" w:eastAsia="es-ES"/>
        </w:rPr>
      </w:pPr>
      <w:r w:rsidRPr="00B3594B">
        <w:rPr>
          <w:rFonts w:ascii="Arial" w:hAnsi="Arial" w:cs="Arial"/>
          <w:color w:val="000000"/>
          <w:sz w:val="24"/>
          <w:szCs w:val="24"/>
          <w:lang w:val="es-ES" w:eastAsia="es-ES"/>
        </w:rPr>
        <w:t xml:space="preserve">Futuras ediciones de este ranking permitirán a la universidad conocer su desempeño en otras áreas tales como </w:t>
      </w:r>
      <w:r w:rsidR="007A301A">
        <w:rPr>
          <w:rFonts w:ascii="Arial" w:hAnsi="Arial" w:cs="Arial"/>
          <w:color w:val="000000"/>
          <w:sz w:val="24"/>
          <w:szCs w:val="24"/>
          <w:lang w:val="es-ES" w:eastAsia="es-ES"/>
        </w:rPr>
        <w:t>a</w:t>
      </w:r>
      <w:r w:rsidRPr="00B3594B">
        <w:rPr>
          <w:rFonts w:ascii="Arial" w:hAnsi="Arial" w:cs="Arial"/>
          <w:color w:val="000000"/>
          <w:sz w:val="24"/>
          <w:szCs w:val="24"/>
          <w:lang w:val="es-ES" w:eastAsia="es-ES"/>
        </w:rPr>
        <w:t xml:space="preserve">rtes y humanidades, </w:t>
      </w:r>
      <w:r w:rsidR="007A301A" w:rsidRPr="00B3594B">
        <w:rPr>
          <w:rFonts w:ascii="Arial" w:hAnsi="Arial" w:cs="Arial"/>
          <w:color w:val="000000"/>
          <w:sz w:val="24"/>
          <w:szCs w:val="24"/>
          <w:lang w:val="es-ES" w:eastAsia="es-ES"/>
        </w:rPr>
        <w:t>economía y negocios, medicina y salud, ciencias computacionales, leyes, psicología y ciencias sociales</w:t>
      </w:r>
      <w:r w:rsidRPr="00B3594B">
        <w:rPr>
          <w:rFonts w:ascii="Arial" w:hAnsi="Arial" w:cs="Arial"/>
          <w:color w:val="000000"/>
          <w:sz w:val="24"/>
          <w:szCs w:val="24"/>
          <w:lang w:val="es-ES" w:eastAsia="es-ES"/>
        </w:rPr>
        <w:t>.</w:t>
      </w:r>
    </w:p>
    <w:p w:rsidR="00B3594B" w:rsidRPr="002015B6" w:rsidRDefault="00B3594B" w:rsidP="007A301A">
      <w:pPr>
        <w:pStyle w:val="Prrafodelista"/>
        <w:shd w:val="clear" w:color="auto" w:fill="FFFFFF"/>
        <w:tabs>
          <w:tab w:val="left" w:pos="284"/>
        </w:tabs>
        <w:ind w:left="0"/>
        <w:jc w:val="both"/>
        <w:textAlignment w:val="top"/>
        <w:rPr>
          <w:rFonts w:ascii="Arial" w:hAnsi="Arial" w:cs="Arial"/>
          <w:sz w:val="20"/>
          <w:szCs w:val="20"/>
          <w:lang w:val="es-ES" w:eastAsia="es-ES"/>
        </w:rPr>
      </w:pPr>
    </w:p>
    <w:p w:rsidR="00B3594B" w:rsidRPr="00B3594B" w:rsidRDefault="00B3594B" w:rsidP="007A301A">
      <w:pPr>
        <w:shd w:val="clear" w:color="auto" w:fill="FFFFFF"/>
        <w:jc w:val="both"/>
        <w:rPr>
          <w:rFonts w:ascii="Arial" w:hAnsi="Arial" w:cs="Arial"/>
          <w:color w:val="000000"/>
          <w:sz w:val="24"/>
          <w:szCs w:val="24"/>
          <w:lang w:val="es-ES" w:eastAsia="es-ES"/>
        </w:rPr>
      </w:pPr>
      <w:r w:rsidRPr="00B3594B">
        <w:rPr>
          <w:rFonts w:ascii="Arial" w:hAnsi="Arial" w:cs="Arial"/>
          <w:color w:val="000000"/>
          <w:sz w:val="24"/>
          <w:szCs w:val="24"/>
          <w:lang w:val="es-ES" w:eastAsia="es-ES"/>
        </w:rPr>
        <w:t xml:space="preserve">Cabe mencionar que en la UABC por cuarta ocasión consecutiva figura en este selectivo ranking, destacándose como la mejor universidad del noroeste del país y una de las principales instituciones de educación superior del país. </w:t>
      </w:r>
    </w:p>
    <w:p w:rsidR="00BB6EF1" w:rsidRPr="00B3594B" w:rsidRDefault="00BB6EF1" w:rsidP="00B3594B">
      <w:pPr>
        <w:shd w:val="clear" w:color="auto" w:fill="FFFFFF"/>
        <w:autoSpaceDN/>
        <w:jc w:val="both"/>
        <w:textAlignment w:val="auto"/>
        <w:rPr>
          <w:rFonts w:ascii="Arial" w:hAnsi="Arial" w:cs="Arial"/>
          <w:color w:val="FF0000"/>
          <w:sz w:val="24"/>
          <w:szCs w:val="24"/>
          <w:lang w:val="es-ES"/>
        </w:rPr>
      </w:pPr>
    </w:p>
    <w:p w:rsidR="00F44B73" w:rsidRPr="002015B6" w:rsidRDefault="00F44B73" w:rsidP="00F44B73">
      <w:pPr>
        <w:shd w:val="clear" w:color="auto" w:fill="FFFFFF"/>
        <w:autoSpaceDN/>
        <w:jc w:val="both"/>
        <w:textAlignment w:val="auto"/>
        <w:rPr>
          <w:rFonts w:ascii="Arial" w:hAnsi="Arial" w:cs="Arial"/>
          <w:color w:val="FFFFFF" w:themeColor="background1"/>
          <w:sz w:val="24"/>
          <w:szCs w:val="24"/>
        </w:rPr>
      </w:pPr>
    </w:p>
    <w:p w:rsidR="00F44B73" w:rsidRPr="002015B6" w:rsidRDefault="00F44B73" w:rsidP="00F44B73">
      <w:pPr>
        <w:shd w:val="clear" w:color="auto" w:fill="FFFFFF"/>
        <w:autoSpaceDN/>
        <w:jc w:val="both"/>
        <w:textAlignment w:val="auto"/>
        <w:rPr>
          <w:rFonts w:ascii="Arial" w:hAnsi="Arial" w:cs="Arial"/>
          <w:color w:val="FFFFFF" w:themeColor="background1"/>
          <w:sz w:val="24"/>
          <w:szCs w:val="24"/>
        </w:rPr>
      </w:pPr>
    </w:p>
    <w:p w:rsidR="00E539B5" w:rsidRPr="002015B6" w:rsidRDefault="00F44B73" w:rsidP="00B3594B">
      <w:pPr>
        <w:shd w:val="clear" w:color="auto" w:fill="FFFFFF"/>
        <w:autoSpaceDN/>
        <w:jc w:val="right"/>
        <w:textAlignment w:val="auto"/>
        <w:rPr>
          <w:rFonts w:ascii="Arial" w:hAnsi="Arial" w:cs="Arial"/>
          <w:color w:val="FFFFFF" w:themeColor="background1"/>
          <w:sz w:val="23"/>
          <w:szCs w:val="23"/>
        </w:rPr>
      </w:pPr>
      <w:r w:rsidRPr="002015B6">
        <w:rPr>
          <w:rFonts w:ascii="Arial" w:hAnsi="Arial" w:cs="Arial"/>
          <w:color w:val="FFFFFF" w:themeColor="background1"/>
          <w:sz w:val="18"/>
          <w:szCs w:val="24"/>
        </w:rPr>
        <w:t xml:space="preserve">Redacción: </w:t>
      </w:r>
      <w:r w:rsidR="00B3594B" w:rsidRPr="002015B6">
        <w:rPr>
          <w:rFonts w:ascii="Arial" w:hAnsi="Arial" w:cs="Arial"/>
          <w:color w:val="FFFFFF" w:themeColor="background1"/>
          <w:sz w:val="18"/>
          <w:szCs w:val="24"/>
        </w:rPr>
        <w:t>Gaceta UABC</w:t>
      </w:r>
    </w:p>
    <w:sectPr w:rsidR="00E539B5" w:rsidRPr="002015B6"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C95" w:rsidRDefault="00464C95">
      <w:r>
        <w:separator/>
      </w:r>
    </w:p>
  </w:endnote>
  <w:endnote w:type="continuationSeparator" w:id="0">
    <w:p w:rsidR="00464C95" w:rsidRDefault="00464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C95" w:rsidRDefault="00464C95">
      <w:r>
        <w:rPr>
          <w:color w:val="000000"/>
        </w:rPr>
        <w:separator/>
      </w:r>
    </w:p>
  </w:footnote>
  <w:footnote w:type="continuationSeparator" w:id="0">
    <w:p w:rsidR="00464C95" w:rsidRDefault="00464C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7B6D"/>
    <w:multiLevelType w:val="multilevel"/>
    <w:tmpl w:val="E5F68DC0"/>
    <w:lvl w:ilvl="0">
      <w:start w:val="1"/>
      <w:numFmt w:val="decimal"/>
      <w:lvlText w:val="%1."/>
      <w:lvlJc w:val="left"/>
      <w:pPr>
        <w:ind w:left="358" w:hanging="240"/>
      </w:pPr>
      <w:rPr>
        <w:rFonts w:ascii="Times New Roman" w:eastAsia="Times New Roman" w:hAnsi="Times New Roman" w:cs="Times New Roman" w:hint="default"/>
        <w:b/>
        <w:bCs/>
        <w:spacing w:val="-1"/>
        <w:w w:val="100"/>
        <w:sz w:val="24"/>
        <w:szCs w:val="24"/>
        <w:lang w:val="es-ES" w:eastAsia="es-ES" w:bidi="es-ES"/>
      </w:rPr>
    </w:lvl>
    <w:lvl w:ilvl="1">
      <w:start w:val="1"/>
      <w:numFmt w:val="decimal"/>
      <w:lvlText w:val="%1.%2"/>
      <w:lvlJc w:val="left"/>
      <w:pPr>
        <w:ind w:left="478" w:hanging="360"/>
      </w:pPr>
      <w:rPr>
        <w:rFonts w:ascii="Times New Roman" w:eastAsia="Times New Roman" w:hAnsi="Times New Roman" w:cs="Times New Roman" w:hint="default"/>
        <w:b/>
        <w:bCs/>
        <w:w w:val="100"/>
        <w:sz w:val="24"/>
        <w:szCs w:val="24"/>
        <w:lang w:val="es-ES" w:eastAsia="es-ES" w:bidi="es-ES"/>
      </w:rPr>
    </w:lvl>
    <w:lvl w:ilvl="2">
      <w:numFmt w:val="bullet"/>
      <w:lvlText w:val="•"/>
      <w:lvlJc w:val="left"/>
      <w:pPr>
        <w:ind w:left="540" w:hanging="360"/>
      </w:pPr>
      <w:rPr>
        <w:rFonts w:hint="default"/>
        <w:lang w:val="es-ES" w:eastAsia="es-ES" w:bidi="es-ES"/>
      </w:rPr>
    </w:lvl>
    <w:lvl w:ilvl="3">
      <w:numFmt w:val="bullet"/>
      <w:lvlText w:val="•"/>
      <w:lvlJc w:val="left"/>
      <w:pPr>
        <w:ind w:left="1605" w:hanging="360"/>
      </w:pPr>
      <w:rPr>
        <w:rFonts w:hint="default"/>
        <w:lang w:val="es-ES" w:eastAsia="es-ES" w:bidi="es-ES"/>
      </w:rPr>
    </w:lvl>
    <w:lvl w:ilvl="4">
      <w:numFmt w:val="bullet"/>
      <w:lvlText w:val="•"/>
      <w:lvlJc w:val="left"/>
      <w:pPr>
        <w:ind w:left="2670" w:hanging="360"/>
      </w:pPr>
      <w:rPr>
        <w:rFonts w:hint="default"/>
        <w:lang w:val="es-ES" w:eastAsia="es-ES" w:bidi="es-ES"/>
      </w:rPr>
    </w:lvl>
    <w:lvl w:ilvl="5">
      <w:numFmt w:val="bullet"/>
      <w:lvlText w:val="•"/>
      <w:lvlJc w:val="left"/>
      <w:pPr>
        <w:ind w:left="3735" w:hanging="360"/>
      </w:pPr>
      <w:rPr>
        <w:rFonts w:hint="default"/>
        <w:lang w:val="es-ES" w:eastAsia="es-ES" w:bidi="es-ES"/>
      </w:rPr>
    </w:lvl>
    <w:lvl w:ilvl="6">
      <w:numFmt w:val="bullet"/>
      <w:lvlText w:val="•"/>
      <w:lvlJc w:val="left"/>
      <w:pPr>
        <w:ind w:left="4800" w:hanging="360"/>
      </w:pPr>
      <w:rPr>
        <w:rFonts w:hint="default"/>
        <w:lang w:val="es-ES" w:eastAsia="es-ES" w:bidi="es-ES"/>
      </w:rPr>
    </w:lvl>
    <w:lvl w:ilvl="7">
      <w:numFmt w:val="bullet"/>
      <w:lvlText w:val="•"/>
      <w:lvlJc w:val="left"/>
      <w:pPr>
        <w:ind w:left="5865" w:hanging="360"/>
      </w:pPr>
      <w:rPr>
        <w:rFonts w:hint="default"/>
        <w:lang w:val="es-ES" w:eastAsia="es-ES" w:bidi="es-ES"/>
      </w:rPr>
    </w:lvl>
    <w:lvl w:ilvl="8">
      <w:numFmt w:val="bullet"/>
      <w:lvlText w:val="•"/>
      <w:lvlJc w:val="left"/>
      <w:pPr>
        <w:ind w:left="6930" w:hanging="360"/>
      </w:pPr>
      <w:rPr>
        <w:rFonts w:hint="default"/>
        <w:lang w:val="es-ES" w:eastAsia="es-ES" w:bidi="es-ES"/>
      </w:rPr>
    </w:lvl>
  </w:abstractNum>
  <w:abstractNum w:abstractNumId="1"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A32530"/>
    <w:multiLevelType w:val="hybridMultilevel"/>
    <w:tmpl w:val="935A615A"/>
    <w:lvl w:ilvl="0" w:tplc="0C0A0005">
      <w:start w:val="1"/>
      <w:numFmt w:val="bullet"/>
      <w:lvlText w:val=""/>
      <w:lvlJc w:val="left"/>
      <w:pPr>
        <w:ind w:left="838" w:hanging="360"/>
      </w:pPr>
      <w:rPr>
        <w:rFonts w:ascii="Wingdings" w:hAnsi="Wingdings" w:hint="default"/>
      </w:rPr>
    </w:lvl>
    <w:lvl w:ilvl="1" w:tplc="0C0A0003" w:tentative="1">
      <w:start w:val="1"/>
      <w:numFmt w:val="bullet"/>
      <w:lvlText w:val="o"/>
      <w:lvlJc w:val="left"/>
      <w:pPr>
        <w:ind w:left="1558" w:hanging="360"/>
      </w:pPr>
      <w:rPr>
        <w:rFonts w:ascii="Courier New" w:hAnsi="Courier New" w:cs="Courier New" w:hint="default"/>
      </w:rPr>
    </w:lvl>
    <w:lvl w:ilvl="2" w:tplc="0C0A0005" w:tentative="1">
      <w:start w:val="1"/>
      <w:numFmt w:val="bullet"/>
      <w:lvlText w:val=""/>
      <w:lvlJc w:val="left"/>
      <w:pPr>
        <w:ind w:left="2278" w:hanging="360"/>
      </w:pPr>
      <w:rPr>
        <w:rFonts w:ascii="Wingdings" w:hAnsi="Wingdings" w:hint="default"/>
      </w:rPr>
    </w:lvl>
    <w:lvl w:ilvl="3" w:tplc="0C0A0001" w:tentative="1">
      <w:start w:val="1"/>
      <w:numFmt w:val="bullet"/>
      <w:lvlText w:val=""/>
      <w:lvlJc w:val="left"/>
      <w:pPr>
        <w:ind w:left="2998" w:hanging="360"/>
      </w:pPr>
      <w:rPr>
        <w:rFonts w:ascii="Symbol" w:hAnsi="Symbol" w:hint="default"/>
      </w:rPr>
    </w:lvl>
    <w:lvl w:ilvl="4" w:tplc="0C0A0003" w:tentative="1">
      <w:start w:val="1"/>
      <w:numFmt w:val="bullet"/>
      <w:lvlText w:val="o"/>
      <w:lvlJc w:val="left"/>
      <w:pPr>
        <w:ind w:left="3718" w:hanging="360"/>
      </w:pPr>
      <w:rPr>
        <w:rFonts w:ascii="Courier New" w:hAnsi="Courier New" w:cs="Courier New" w:hint="default"/>
      </w:rPr>
    </w:lvl>
    <w:lvl w:ilvl="5" w:tplc="0C0A0005" w:tentative="1">
      <w:start w:val="1"/>
      <w:numFmt w:val="bullet"/>
      <w:lvlText w:val=""/>
      <w:lvlJc w:val="left"/>
      <w:pPr>
        <w:ind w:left="4438" w:hanging="360"/>
      </w:pPr>
      <w:rPr>
        <w:rFonts w:ascii="Wingdings" w:hAnsi="Wingdings" w:hint="default"/>
      </w:rPr>
    </w:lvl>
    <w:lvl w:ilvl="6" w:tplc="0C0A0001" w:tentative="1">
      <w:start w:val="1"/>
      <w:numFmt w:val="bullet"/>
      <w:lvlText w:val=""/>
      <w:lvlJc w:val="left"/>
      <w:pPr>
        <w:ind w:left="5158" w:hanging="360"/>
      </w:pPr>
      <w:rPr>
        <w:rFonts w:ascii="Symbol" w:hAnsi="Symbol" w:hint="default"/>
      </w:rPr>
    </w:lvl>
    <w:lvl w:ilvl="7" w:tplc="0C0A0003" w:tentative="1">
      <w:start w:val="1"/>
      <w:numFmt w:val="bullet"/>
      <w:lvlText w:val="o"/>
      <w:lvlJc w:val="left"/>
      <w:pPr>
        <w:ind w:left="5878" w:hanging="360"/>
      </w:pPr>
      <w:rPr>
        <w:rFonts w:ascii="Courier New" w:hAnsi="Courier New" w:cs="Courier New" w:hint="default"/>
      </w:rPr>
    </w:lvl>
    <w:lvl w:ilvl="8" w:tplc="0C0A0005" w:tentative="1">
      <w:start w:val="1"/>
      <w:numFmt w:val="bullet"/>
      <w:lvlText w:val=""/>
      <w:lvlJc w:val="left"/>
      <w:pPr>
        <w:ind w:left="6598" w:hanging="360"/>
      </w:pPr>
      <w:rPr>
        <w:rFonts w:ascii="Wingdings" w:hAnsi="Wingdings" w:hint="default"/>
      </w:rPr>
    </w:lvl>
  </w:abstractNum>
  <w:abstractNum w:abstractNumId="5"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DF5FFE"/>
    <w:multiLevelType w:val="hybridMultilevel"/>
    <w:tmpl w:val="D5CC7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22224A"/>
    <w:multiLevelType w:val="hybridMultilevel"/>
    <w:tmpl w:val="675A7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0883EE0"/>
    <w:multiLevelType w:val="hybridMultilevel"/>
    <w:tmpl w:val="D72C3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59E46FD"/>
    <w:multiLevelType w:val="hybridMultilevel"/>
    <w:tmpl w:val="1F00A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7"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9007DB3"/>
    <w:multiLevelType w:val="hybridMultilevel"/>
    <w:tmpl w:val="10502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B417DBC"/>
    <w:multiLevelType w:val="hybridMultilevel"/>
    <w:tmpl w:val="E8B2B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9C6572B"/>
    <w:multiLevelType w:val="hybridMultilevel"/>
    <w:tmpl w:val="9DFC542C"/>
    <w:lvl w:ilvl="0" w:tplc="A17CAD12">
      <w:numFmt w:val="bullet"/>
      <w:lvlText w:val="•"/>
      <w:lvlJc w:val="left"/>
      <w:pPr>
        <w:ind w:left="477" w:hanging="360"/>
      </w:pPr>
      <w:rPr>
        <w:rFonts w:ascii="Calibri" w:eastAsia="Calibri" w:hAnsi="Calibri" w:cs="Calibri" w:hint="default"/>
        <w:w w:val="100"/>
        <w:sz w:val="22"/>
        <w:szCs w:val="22"/>
        <w:lang w:val="es-ES" w:eastAsia="es-ES" w:bidi="es-ES"/>
      </w:rPr>
    </w:lvl>
    <w:lvl w:ilvl="1" w:tplc="08C4ABBE">
      <w:numFmt w:val="bullet"/>
      <w:lvlText w:val="•"/>
      <w:lvlJc w:val="left"/>
      <w:pPr>
        <w:ind w:left="1392" w:hanging="360"/>
      </w:pPr>
      <w:rPr>
        <w:rFonts w:hint="default"/>
        <w:lang w:val="es-ES" w:eastAsia="es-ES" w:bidi="es-ES"/>
      </w:rPr>
    </w:lvl>
    <w:lvl w:ilvl="2" w:tplc="0644D0EC">
      <w:numFmt w:val="bullet"/>
      <w:lvlText w:val="•"/>
      <w:lvlJc w:val="left"/>
      <w:pPr>
        <w:ind w:left="2304" w:hanging="360"/>
      </w:pPr>
      <w:rPr>
        <w:rFonts w:hint="default"/>
        <w:lang w:val="es-ES" w:eastAsia="es-ES" w:bidi="es-ES"/>
      </w:rPr>
    </w:lvl>
    <w:lvl w:ilvl="3" w:tplc="A11E6C5A">
      <w:numFmt w:val="bullet"/>
      <w:lvlText w:val="•"/>
      <w:lvlJc w:val="left"/>
      <w:pPr>
        <w:ind w:left="3216" w:hanging="360"/>
      </w:pPr>
      <w:rPr>
        <w:rFonts w:hint="default"/>
        <w:lang w:val="es-ES" w:eastAsia="es-ES" w:bidi="es-ES"/>
      </w:rPr>
    </w:lvl>
    <w:lvl w:ilvl="4" w:tplc="11A4097A">
      <w:numFmt w:val="bullet"/>
      <w:lvlText w:val="•"/>
      <w:lvlJc w:val="left"/>
      <w:pPr>
        <w:ind w:left="4128" w:hanging="360"/>
      </w:pPr>
      <w:rPr>
        <w:rFonts w:hint="default"/>
        <w:lang w:val="es-ES" w:eastAsia="es-ES" w:bidi="es-ES"/>
      </w:rPr>
    </w:lvl>
    <w:lvl w:ilvl="5" w:tplc="D6AABF30">
      <w:numFmt w:val="bullet"/>
      <w:lvlText w:val="•"/>
      <w:lvlJc w:val="left"/>
      <w:pPr>
        <w:ind w:left="5040" w:hanging="360"/>
      </w:pPr>
      <w:rPr>
        <w:rFonts w:hint="default"/>
        <w:lang w:val="es-ES" w:eastAsia="es-ES" w:bidi="es-ES"/>
      </w:rPr>
    </w:lvl>
    <w:lvl w:ilvl="6" w:tplc="3676CBC0">
      <w:numFmt w:val="bullet"/>
      <w:lvlText w:val="•"/>
      <w:lvlJc w:val="left"/>
      <w:pPr>
        <w:ind w:left="5952" w:hanging="360"/>
      </w:pPr>
      <w:rPr>
        <w:rFonts w:hint="default"/>
        <w:lang w:val="es-ES" w:eastAsia="es-ES" w:bidi="es-ES"/>
      </w:rPr>
    </w:lvl>
    <w:lvl w:ilvl="7" w:tplc="33C69A88">
      <w:numFmt w:val="bullet"/>
      <w:lvlText w:val="•"/>
      <w:lvlJc w:val="left"/>
      <w:pPr>
        <w:ind w:left="6864" w:hanging="360"/>
      </w:pPr>
      <w:rPr>
        <w:rFonts w:hint="default"/>
        <w:lang w:val="es-ES" w:eastAsia="es-ES" w:bidi="es-ES"/>
      </w:rPr>
    </w:lvl>
    <w:lvl w:ilvl="8" w:tplc="C666CA1C">
      <w:numFmt w:val="bullet"/>
      <w:lvlText w:val="•"/>
      <w:lvlJc w:val="left"/>
      <w:pPr>
        <w:ind w:left="7776" w:hanging="360"/>
      </w:pPr>
      <w:rPr>
        <w:rFonts w:hint="default"/>
        <w:lang w:val="es-ES" w:eastAsia="es-ES" w:bidi="es-ES"/>
      </w:rPr>
    </w:lvl>
  </w:abstractNum>
  <w:abstractNum w:abstractNumId="26"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CD7608E"/>
    <w:multiLevelType w:val="multilevel"/>
    <w:tmpl w:val="06E491E2"/>
    <w:lvl w:ilvl="0">
      <w:start w:val="1"/>
      <w:numFmt w:val="decimal"/>
      <w:lvlText w:val="%1."/>
      <w:lvlJc w:val="left"/>
      <w:pPr>
        <w:ind w:left="477" w:hanging="360"/>
      </w:pPr>
      <w:rPr>
        <w:rFonts w:ascii="Calibri" w:eastAsia="Calibri" w:hAnsi="Calibri" w:cs="Calibri" w:hint="default"/>
        <w:b/>
        <w:bCs/>
        <w:spacing w:val="-1"/>
        <w:w w:val="100"/>
        <w:sz w:val="22"/>
        <w:szCs w:val="22"/>
        <w:lang w:val="es-ES" w:eastAsia="es-ES" w:bidi="es-ES"/>
      </w:rPr>
    </w:lvl>
    <w:lvl w:ilvl="1">
      <w:start w:val="1"/>
      <w:numFmt w:val="decimal"/>
      <w:lvlText w:val="%2."/>
      <w:lvlJc w:val="left"/>
      <w:pPr>
        <w:ind w:left="837" w:hanging="360"/>
        <w:jc w:val="right"/>
      </w:pPr>
      <w:rPr>
        <w:rFonts w:hint="default"/>
        <w:spacing w:val="-1"/>
        <w:w w:val="100"/>
        <w:lang w:val="es-ES" w:eastAsia="es-ES" w:bidi="es-ES"/>
      </w:rPr>
    </w:lvl>
    <w:lvl w:ilvl="2">
      <w:start w:val="1"/>
      <w:numFmt w:val="decimal"/>
      <w:lvlText w:val="%2.%3."/>
      <w:lvlJc w:val="left"/>
      <w:pPr>
        <w:ind w:left="909" w:hanging="432"/>
      </w:pPr>
      <w:rPr>
        <w:rFonts w:ascii="Calibri" w:eastAsia="Calibri" w:hAnsi="Calibri" w:cs="Calibri" w:hint="default"/>
        <w:b/>
        <w:bCs/>
        <w:spacing w:val="-1"/>
        <w:w w:val="100"/>
        <w:sz w:val="22"/>
        <w:szCs w:val="22"/>
        <w:lang w:val="es-ES" w:eastAsia="es-ES" w:bidi="es-ES"/>
      </w:rPr>
    </w:lvl>
    <w:lvl w:ilvl="3">
      <w:numFmt w:val="bullet"/>
      <w:lvlText w:val="•"/>
      <w:lvlJc w:val="left"/>
      <w:pPr>
        <w:ind w:left="1987" w:hanging="432"/>
      </w:pPr>
      <w:rPr>
        <w:rFonts w:hint="default"/>
        <w:lang w:val="es-ES" w:eastAsia="es-ES" w:bidi="es-ES"/>
      </w:rPr>
    </w:lvl>
    <w:lvl w:ilvl="4">
      <w:numFmt w:val="bullet"/>
      <w:lvlText w:val="•"/>
      <w:lvlJc w:val="left"/>
      <w:pPr>
        <w:ind w:left="3075" w:hanging="432"/>
      </w:pPr>
      <w:rPr>
        <w:rFonts w:hint="default"/>
        <w:lang w:val="es-ES" w:eastAsia="es-ES" w:bidi="es-ES"/>
      </w:rPr>
    </w:lvl>
    <w:lvl w:ilvl="5">
      <w:numFmt w:val="bullet"/>
      <w:lvlText w:val="•"/>
      <w:lvlJc w:val="left"/>
      <w:pPr>
        <w:ind w:left="4162" w:hanging="432"/>
      </w:pPr>
      <w:rPr>
        <w:rFonts w:hint="default"/>
        <w:lang w:val="es-ES" w:eastAsia="es-ES" w:bidi="es-ES"/>
      </w:rPr>
    </w:lvl>
    <w:lvl w:ilvl="6">
      <w:numFmt w:val="bullet"/>
      <w:lvlText w:val="•"/>
      <w:lvlJc w:val="left"/>
      <w:pPr>
        <w:ind w:left="5250" w:hanging="432"/>
      </w:pPr>
      <w:rPr>
        <w:rFonts w:hint="default"/>
        <w:lang w:val="es-ES" w:eastAsia="es-ES" w:bidi="es-ES"/>
      </w:rPr>
    </w:lvl>
    <w:lvl w:ilvl="7">
      <w:numFmt w:val="bullet"/>
      <w:lvlText w:val="•"/>
      <w:lvlJc w:val="left"/>
      <w:pPr>
        <w:ind w:left="6337" w:hanging="432"/>
      </w:pPr>
      <w:rPr>
        <w:rFonts w:hint="default"/>
        <w:lang w:val="es-ES" w:eastAsia="es-ES" w:bidi="es-ES"/>
      </w:rPr>
    </w:lvl>
    <w:lvl w:ilvl="8">
      <w:numFmt w:val="bullet"/>
      <w:lvlText w:val="•"/>
      <w:lvlJc w:val="left"/>
      <w:pPr>
        <w:ind w:left="7425" w:hanging="432"/>
      </w:pPr>
      <w:rPr>
        <w:rFonts w:hint="default"/>
        <w:lang w:val="es-ES" w:eastAsia="es-ES" w:bidi="es-ES"/>
      </w:rPr>
    </w:lvl>
  </w:abstractNum>
  <w:abstractNum w:abstractNumId="29"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601843FA"/>
    <w:multiLevelType w:val="hybridMultilevel"/>
    <w:tmpl w:val="34585E22"/>
    <w:lvl w:ilvl="0" w:tplc="B78CEEE4">
      <w:start w:val="1"/>
      <w:numFmt w:val="lowerLetter"/>
      <w:lvlText w:val="%1)"/>
      <w:lvlJc w:val="left"/>
      <w:pPr>
        <w:ind w:left="1735" w:hanging="360"/>
      </w:pPr>
      <w:rPr>
        <w:rFonts w:ascii="Arial" w:eastAsia="Arial" w:hAnsi="Arial" w:cs="Arial" w:hint="default"/>
        <w:color w:val="231F20"/>
        <w:spacing w:val="-1"/>
        <w:w w:val="100"/>
        <w:sz w:val="20"/>
        <w:szCs w:val="20"/>
        <w:lang w:val="es-ES" w:eastAsia="en-US" w:bidi="ar-SA"/>
      </w:rPr>
    </w:lvl>
    <w:lvl w:ilvl="1" w:tplc="4AB80D3C">
      <w:numFmt w:val="bullet"/>
      <w:lvlText w:val="•"/>
      <w:lvlJc w:val="left"/>
      <w:pPr>
        <w:ind w:left="2816" w:hanging="360"/>
      </w:pPr>
      <w:rPr>
        <w:rFonts w:hint="default"/>
        <w:lang w:val="es-ES" w:eastAsia="en-US" w:bidi="ar-SA"/>
      </w:rPr>
    </w:lvl>
    <w:lvl w:ilvl="2" w:tplc="0D8ACDAC">
      <w:numFmt w:val="bullet"/>
      <w:lvlText w:val="•"/>
      <w:lvlJc w:val="left"/>
      <w:pPr>
        <w:ind w:left="3892" w:hanging="360"/>
      </w:pPr>
      <w:rPr>
        <w:rFonts w:hint="default"/>
        <w:lang w:val="es-ES" w:eastAsia="en-US" w:bidi="ar-SA"/>
      </w:rPr>
    </w:lvl>
    <w:lvl w:ilvl="3" w:tplc="E40899A0">
      <w:numFmt w:val="bullet"/>
      <w:lvlText w:val="•"/>
      <w:lvlJc w:val="left"/>
      <w:pPr>
        <w:ind w:left="4968" w:hanging="360"/>
      </w:pPr>
      <w:rPr>
        <w:rFonts w:hint="default"/>
        <w:lang w:val="es-ES" w:eastAsia="en-US" w:bidi="ar-SA"/>
      </w:rPr>
    </w:lvl>
    <w:lvl w:ilvl="4" w:tplc="129AE33C">
      <w:numFmt w:val="bullet"/>
      <w:lvlText w:val="•"/>
      <w:lvlJc w:val="left"/>
      <w:pPr>
        <w:ind w:left="6044" w:hanging="360"/>
      </w:pPr>
      <w:rPr>
        <w:rFonts w:hint="default"/>
        <w:lang w:val="es-ES" w:eastAsia="en-US" w:bidi="ar-SA"/>
      </w:rPr>
    </w:lvl>
    <w:lvl w:ilvl="5" w:tplc="1F020282">
      <w:numFmt w:val="bullet"/>
      <w:lvlText w:val="•"/>
      <w:lvlJc w:val="left"/>
      <w:pPr>
        <w:ind w:left="7120" w:hanging="360"/>
      </w:pPr>
      <w:rPr>
        <w:rFonts w:hint="default"/>
        <w:lang w:val="es-ES" w:eastAsia="en-US" w:bidi="ar-SA"/>
      </w:rPr>
    </w:lvl>
    <w:lvl w:ilvl="6" w:tplc="A54CEAD8">
      <w:numFmt w:val="bullet"/>
      <w:lvlText w:val="•"/>
      <w:lvlJc w:val="left"/>
      <w:pPr>
        <w:ind w:left="8196" w:hanging="360"/>
      </w:pPr>
      <w:rPr>
        <w:rFonts w:hint="default"/>
        <w:lang w:val="es-ES" w:eastAsia="en-US" w:bidi="ar-SA"/>
      </w:rPr>
    </w:lvl>
    <w:lvl w:ilvl="7" w:tplc="DEAE488A">
      <w:numFmt w:val="bullet"/>
      <w:lvlText w:val="•"/>
      <w:lvlJc w:val="left"/>
      <w:pPr>
        <w:ind w:left="9272" w:hanging="360"/>
      </w:pPr>
      <w:rPr>
        <w:rFonts w:hint="default"/>
        <w:lang w:val="es-ES" w:eastAsia="en-US" w:bidi="ar-SA"/>
      </w:rPr>
    </w:lvl>
    <w:lvl w:ilvl="8" w:tplc="3F921634">
      <w:numFmt w:val="bullet"/>
      <w:lvlText w:val="•"/>
      <w:lvlJc w:val="left"/>
      <w:pPr>
        <w:ind w:left="10348" w:hanging="360"/>
      </w:pPr>
      <w:rPr>
        <w:rFonts w:hint="default"/>
        <w:lang w:val="es-ES" w:eastAsia="en-US" w:bidi="ar-SA"/>
      </w:rPr>
    </w:lvl>
  </w:abstractNum>
  <w:abstractNum w:abstractNumId="31"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0">
    <w:nsid w:val="6F1C5421"/>
    <w:multiLevelType w:val="hybridMultilevel"/>
    <w:tmpl w:val="599875E6"/>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37" w15:restartNumberingAfterBreak="0">
    <w:nsid w:val="6F7F2723"/>
    <w:multiLevelType w:val="hybridMultilevel"/>
    <w:tmpl w:val="32484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2"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C3D7D02"/>
    <w:multiLevelType w:val="hybridMultilevel"/>
    <w:tmpl w:val="15EEC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FB87A50"/>
    <w:multiLevelType w:val="hybridMultilevel"/>
    <w:tmpl w:val="40789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2"/>
  </w:num>
  <w:num w:numId="2">
    <w:abstractNumId w:val="38"/>
  </w:num>
  <w:num w:numId="3">
    <w:abstractNumId w:val="23"/>
  </w:num>
  <w:num w:numId="4">
    <w:abstractNumId w:val="27"/>
  </w:num>
  <w:num w:numId="5">
    <w:abstractNumId w:val="18"/>
  </w:num>
  <w:num w:numId="6">
    <w:abstractNumId w:val="33"/>
  </w:num>
  <w:num w:numId="7">
    <w:abstractNumId w:val="35"/>
  </w:num>
  <w:num w:numId="8">
    <w:abstractNumId w:val="2"/>
  </w:num>
  <w:num w:numId="9">
    <w:abstractNumId w:val="44"/>
  </w:num>
  <w:num w:numId="10">
    <w:abstractNumId w:val="40"/>
  </w:num>
  <w:num w:numId="11">
    <w:abstractNumId w:val="7"/>
  </w:num>
  <w:num w:numId="12">
    <w:abstractNumId w:val="3"/>
  </w:num>
  <w:num w:numId="13">
    <w:abstractNumId w:val="24"/>
  </w:num>
  <w:num w:numId="14">
    <w:abstractNumId w:val="5"/>
  </w:num>
  <w:num w:numId="15">
    <w:abstractNumId w:val="42"/>
  </w:num>
  <w:num w:numId="16">
    <w:abstractNumId w:val="13"/>
  </w:num>
  <w:num w:numId="17">
    <w:abstractNumId w:val="26"/>
  </w:num>
  <w:num w:numId="18">
    <w:abstractNumId w:val="22"/>
  </w:num>
  <w:num w:numId="19">
    <w:abstractNumId w:val="17"/>
  </w:num>
  <w:num w:numId="20">
    <w:abstractNumId w:val="26"/>
  </w:num>
  <w:num w:numId="21">
    <w:abstractNumId w:val="29"/>
  </w:num>
  <w:num w:numId="22">
    <w:abstractNumId w:val="10"/>
  </w:num>
  <w:num w:numId="23">
    <w:abstractNumId w:val="31"/>
  </w:num>
  <w:num w:numId="24">
    <w:abstractNumId w:val="45"/>
  </w:num>
  <w:num w:numId="25">
    <w:abstractNumId w:val="15"/>
  </w:num>
  <w:num w:numId="26">
    <w:abstractNumId w:val="16"/>
  </w:num>
  <w:num w:numId="27">
    <w:abstractNumId w:val="19"/>
  </w:num>
  <w:num w:numId="28">
    <w:abstractNumId w:val="41"/>
  </w:num>
  <w:num w:numId="29">
    <w:abstractNumId w:val="6"/>
  </w:num>
  <w:num w:numId="30">
    <w:abstractNumId w:val="39"/>
  </w:num>
  <w:num w:numId="31">
    <w:abstractNumId w:val="14"/>
  </w:num>
  <w:num w:numId="32">
    <w:abstractNumId w:val="1"/>
  </w:num>
  <w:num w:numId="33">
    <w:abstractNumId w:val="34"/>
  </w:num>
  <w:num w:numId="34">
    <w:abstractNumId w:val="11"/>
  </w:num>
  <w:num w:numId="35">
    <w:abstractNumId w:val="20"/>
  </w:num>
  <w:num w:numId="36">
    <w:abstractNumId w:val="28"/>
  </w:num>
  <w:num w:numId="37">
    <w:abstractNumId w:val="25"/>
  </w:num>
  <w:num w:numId="38">
    <w:abstractNumId w:val="0"/>
  </w:num>
  <w:num w:numId="39">
    <w:abstractNumId w:val="9"/>
  </w:num>
  <w:num w:numId="40">
    <w:abstractNumId w:val="37"/>
  </w:num>
  <w:num w:numId="41">
    <w:abstractNumId w:val="12"/>
  </w:num>
  <w:num w:numId="42">
    <w:abstractNumId w:val="8"/>
  </w:num>
  <w:num w:numId="43">
    <w:abstractNumId w:val="46"/>
  </w:num>
  <w:num w:numId="44">
    <w:abstractNumId w:val="30"/>
  </w:num>
  <w:num w:numId="45">
    <w:abstractNumId w:val="21"/>
  </w:num>
  <w:num w:numId="46">
    <w:abstractNumId w:val="36"/>
  </w:num>
  <w:num w:numId="47">
    <w:abstractNumId w:val="4"/>
  </w:num>
  <w:num w:numId="48">
    <w:abstractNumId w:val="4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5D75"/>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5A"/>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8E2"/>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49AB"/>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5B6"/>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C5D"/>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C95"/>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4745"/>
    <w:rsid w:val="004F60AB"/>
    <w:rsid w:val="004F6888"/>
    <w:rsid w:val="004F6CC8"/>
    <w:rsid w:val="004F6FE6"/>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636"/>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07D"/>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D47"/>
    <w:rsid w:val="00D25D6A"/>
    <w:rsid w:val="00D25DA9"/>
    <w:rsid w:val="00D260BE"/>
    <w:rsid w:val="00D26860"/>
    <w:rsid w:val="00D26A9E"/>
    <w:rsid w:val="00D26DC5"/>
    <w:rsid w:val="00D271AF"/>
    <w:rsid w:val="00D273BD"/>
    <w:rsid w:val="00D27854"/>
    <w:rsid w:val="00D3068E"/>
    <w:rsid w:val="00D30AEC"/>
    <w:rsid w:val="00D30F0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14E"/>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1C5D"/>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0C56"/>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44CE9"/>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F2BC5-59A8-4C0E-B235-3741A0C4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373</Words>
  <Characters>2057</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6</cp:revision>
  <cp:lastPrinted>2020-03-12T17:46:00Z</cp:lastPrinted>
  <dcterms:created xsi:type="dcterms:W3CDTF">2020-11-09T17:53:00Z</dcterms:created>
  <dcterms:modified xsi:type="dcterms:W3CDTF">2020-11-10T00:35:00Z</dcterms:modified>
</cp:coreProperties>
</file>