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FB6339">
        <w:rPr>
          <w:rFonts w:ascii="Arial" w:hAnsi="Arial" w:cs="Arial"/>
          <w:b/>
          <w:sz w:val="24"/>
          <w:szCs w:val="24"/>
        </w:rPr>
        <w:t>0</w:t>
      </w:r>
      <w:r w:rsidR="007F6CFD">
        <w:rPr>
          <w:rFonts w:ascii="Arial" w:hAnsi="Arial" w:cs="Arial"/>
          <w:b/>
          <w:sz w:val="24"/>
          <w:szCs w:val="24"/>
        </w:rPr>
        <w:t>7</w:t>
      </w:r>
      <w:r w:rsidR="00EF4EA5">
        <w:rPr>
          <w:rFonts w:ascii="Arial" w:hAnsi="Arial" w:cs="Arial"/>
          <w:b/>
          <w:sz w:val="24"/>
          <w:szCs w:val="24"/>
        </w:rPr>
        <w:t>/2021-1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0E55AC" w:rsidRPr="00C0102B" w:rsidRDefault="000E55AC" w:rsidP="000E55AC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F6CFD" w:rsidRPr="006A7B28" w:rsidRDefault="007F6CFD" w:rsidP="007F6CFD">
      <w:pPr>
        <w:ind w:left="-142"/>
        <w:jc w:val="center"/>
        <w:rPr>
          <w:rFonts w:ascii="Arial" w:hAnsi="Arial" w:cs="Arial"/>
          <w:b/>
          <w:bCs/>
          <w:color w:val="000000" w:themeColor="text1"/>
          <w:spacing w:val="-6"/>
          <w:sz w:val="35"/>
          <w:szCs w:val="35"/>
          <w:lang w:val="es-ES"/>
        </w:rPr>
      </w:pPr>
      <w:r w:rsidRPr="006A7B28">
        <w:rPr>
          <w:rFonts w:ascii="Arial" w:hAnsi="Arial" w:cs="Arial"/>
          <w:b/>
          <w:bCs/>
          <w:color w:val="000000" w:themeColor="text1"/>
          <w:spacing w:val="-6"/>
          <w:sz w:val="35"/>
          <w:szCs w:val="35"/>
          <w:lang w:val="es-ES"/>
        </w:rPr>
        <w:t>Recibe UABC nuevo registro de patente y de modelo de utilidad</w:t>
      </w:r>
    </w:p>
    <w:p w:rsidR="007F6CFD" w:rsidRPr="00947069" w:rsidRDefault="007F6CFD" w:rsidP="007F6CFD">
      <w:pPr>
        <w:tabs>
          <w:tab w:val="left" w:pos="0"/>
        </w:tabs>
        <w:ind w:right="-426"/>
        <w:jc w:val="both"/>
        <w:rPr>
          <w:rFonts w:ascii="Arial" w:hAnsi="Arial" w:cs="Arial"/>
          <w:b/>
          <w:sz w:val="16"/>
          <w:szCs w:val="16"/>
        </w:rPr>
      </w:pPr>
    </w:p>
    <w:p w:rsidR="007F6CFD" w:rsidRPr="00A8524C" w:rsidRDefault="007F6CFD" w:rsidP="007F6CFD">
      <w:pPr>
        <w:pStyle w:val="Prrafodelista"/>
        <w:numPr>
          <w:ilvl w:val="0"/>
          <w:numId w:val="19"/>
        </w:numPr>
        <w:tabs>
          <w:tab w:val="left" w:pos="0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A8524C">
        <w:rPr>
          <w:rFonts w:ascii="Arial" w:hAnsi="Arial" w:cs="Arial"/>
          <w:sz w:val="24"/>
          <w:szCs w:val="24"/>
        </w:rPr>
        <w:t xml:space="preserve">Esta casa de estudios cuenta con </w:t>
      </w:r>
      <w:r w:rsidRPr="00A8524C">
        <w:rPr>
          <w:rFonts w:ascii="Arial" w:hAnsi="Arial" w:cs="Arial"/>
          <w:sz w:val="24"/>
        </w:rPr>
        <w:t>1</w:t>
      </w:r>
      <w:r w:rsidR="00E30635">
        <w:rPr>
          <w:rFonts w:ascii="Arial" w:hAnsi="Arial" w:cs="Arial"/>
          <w:sz w:val="24"/>
        </w:rPr>
        <w:t>7</w:t>
      </w:r>
      <w:r w:rsidRPr="00A8524C">
        <w:rPr>
          <w:rFonts w:ascii="Arial" w:hAnsi="Arial" w:cs="Arial"/>
          <w:sz w:val="24"/>
        </w:rPr>
        <w:t xml:space="preserve"> invenciones otorgadas por el IMPI</w:t>
      </w:r>
      <w:r>
        <w:rPr>
          <w:rFonts w:ascii="Arial" w:hAnsi="Arial" w:cs="Arial"/>
          <w:sz w:val="24"/>
        </w:rPr>
        <w:t>.</w:t>
      </w:r>
    </w:p>
    <w:p w:rsidR="007F6CFD" w:rsidRPr="00661F60" w:rsidRDefault="007F6CFD" w:rsidP="007F6CFD">
      <w:pPr>
        <w:rPr>
          <w:rFonts w:ascii="Arial" w:hAnsi="Arial" w:cs="Arial"/>
          <w:sz w:val="16"/>
          <w:szCs w:val="16"/>
          <w:lang w:val="es-ES"/>
        </w:rPr>
      </w:pPr>
    </w:p>
    <w:p w:rsidR="007F6CFD" w:rsidRDefault="007F6CFD" w:rsidP="007F6CF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lang w:val="es-ES"/>
        </w:rPr>
        <w:t xml:space="preserve">Mexicali, </w:t>
      </w:r>
      <w:r w:rsidRPr="00277283">
        <w:rPr>
          <w:rFonts w:ascii="Arial" w:hAnsi="Arial" w:cs="Arial"/>
          <w:b/>
          <w:sz w:val="24"/>
          <w:lang w:val="es-ES"/>
        </w:rPr>
        <w:t xml:space="preserve">B.C., </w:t>
      </w:r>
      <w:r w:rsidR="00C67725">
        <w:rPr>
          <w:rFonts w:ascii="Arial" w:hAnsi="Arial" w:cs="Arial"/>
          <w:b/>
          <w:sz w:val="24"/>
          <w:lang w:val="es-ES"/>
        </w:rPr>
        <w:t>miércoles 3</w:t>
      </w:r>
      <w:r w:rsidR="00E30635">
        <w:rPr>
          <w:rFonts w:ascii="Arial" w:hAnsi="Arial" w:cs="Arial"/>
          <w:b/>
          <w:sz w:val="24"/>
          <w:lang w:val="es-ES"/>
        </w:rPr>
        <w:t xml:space="preserve"> de febrero de 2021</w:t>
      </w:r>
      <w:r w:rsidRPr="00D469EF">
        <w:rPr>
          <w:rFonts w:ascii="Arial" w:hAnsi="Arial" w:cs="Arial"/>
          <w:sz w:val="24"/>
          <w:lang w:val="es-ES"/>
        </w:rPr>
        <w:t xml:space="preserve">.- </w:t>
      </w:r>
      <w:r>
        <w:rPr>
          <w:rFonts w:ascii="Arial" w:hAnsi="Arial" w:cs="Arial"/>
          <w:sz w:val="24"/>
          <w:lang w:val="es-ES"/>
        </w:rPr>
        <w:t xml:space="preserve">Dos nuevas producciones científicas desarrolladas por investigadores de la Universidad Autónoma de Baja California (UABC), fueron protegidas con la recepción de una patente y un modelo de utilidad, </w:t>
      </w:r>
      <w:r>
        <w:rPr>
          <w:rFonts w:ascii="Arial" w:hAnsi="Arial" w:cs="Arial"/>
          <w:sz w:val="24"/>
          <w:szCs w:val="24"/>
        </w:rPr>
        <w:t xml:space="preserve">otorgados por el Instituto Mexicano de Propiedad Industrial (IMPI). </w:t>
      </w:r>
    </w:p>
    <w:p w:rsidR="007F6CFD" w:rsidRPr="001A361E" w:rsidRDefault="007F6CFD" w:rsidP="007F6CFD">
      <w:pPr>
        <w:jc w:val="both"/>
        <w:rPr>
          <w:rFonts w:ascii="Arial" w:hAnsi="Arial" w:cs="Arial"/>
          <w:color w:val="7030A0"/>
          <w:sz w:val="16"/>
          <w:szCs w:val="16"/>
        </w:rPr>
      </w:pPr>
    </w:p>
    <w:p w:rsidR="00E30635" w:rsidRPr="00C67725" w:rsidRDefault="00C67725" w:rsidP="00F71A4F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</w:rPr>
      </w:pPr>
      <w:r w:rsidRPr="00C67725">
        <w:rPr>
          <w:rFonts w:ascii="Arial" w:hAnsi="Arial" w:cs="Arial"/>
          <w:spacing w:val="-4"/>
          <w:sz w:val="24"/>
        </w:rPr>
        <w:t>L</w:t>
      </w:r>
      <w:r w:rsidR="007F6CFD" w:rsidRPr="00C67725">
        <w:rPr>
          <w:rFonts w:ascii="Arial" w:hAnsi="Arial" w:cs="Arial"/>
          <w:spacing w:val="-4"/>
          <w:sz w:val="24"/>
        </w:rPr>
        <w:t>a patente</w:t>
      </w:r>
      <w:r w:rsidR="00E30635" w:rsidRPr="00C67725">
        <w:rPr>
          <w:rFonts w:ascii="Arial" w:hAnsi="Arial" w:cs="Arial"/>
          <w:spacing w:val="-4"/>
          <w:sz w:val="24"/>
        </w:rPr>
        <w:t xml:space="preserve"> </w:t>
      </w:r>
      <w:r w:rsidR="00E17A93" w:rsidRPr="00C67725">
        <w:rPr>
          <w:rFonts w:ascii="Arial" w:hAnsi="Arial" w:cs="Arial"/>
          <w:spacing w:val="-4"/>
          <w:sz w:val="24"/>
        </w:rPr>
        <w:t>“</w:t>
      </w:r>
      <w:r w:rsidR="00E30635" w:rsidRPr="00C67725">
        <w:rPr>
          <w:rFonts w:ascii="Arial" w:hAnsi="Arial" w:cs="Arial"/>
          <w:spacing w:val="-4"/>
          <w:sz w:val="24"/>
        </w:rPr>
        <w:t>Concentrador solar puntual de foco fijo para múltiples propósitos</w:t>
      </w:r>
      <w:r w:rsidR="00E17A93" w:rsidRPr="00C67725">
        <w:rPr>
          <w:rFonts w:ascii="Arial" w:hAnsi="Arial" w:cs="Arial"/>
          <w:spacing w:val="-4"/>
          <w:sz w:val="24"/>
        </w:rPr>
        <w:t>”</w:t>
      </w:r>
      <w:r w:rsidR="00E30635" w:rsidRPr="00C67725">
        <w:rPr>
          <w:rFonts w:ascii="Arial" w:hAnsi="Arial" w:cs="Arial"/>
          <w:spacing w:val="-4"/>
          <w:sz w:val="24"/>
        </w:rPr>
        <w:t xml:space="preserve">, </w:t>
      </w:r>
      <w:r w:rsidR="00B438CE" w:rsidRPr="00C67725">
        <w:rPr>
          <w:rFonts w:ascii="Arial" w:hAnsi="Arial" w:cs="Arial"/>
          <w:spacing w:val="-4"/>
          <w:sz w:val="24"/>
        </w:rPr>
        <w:t xml:space="preserve">la cual </w:t>
      </w:r>
      <w:r w:rsidR="00B438CE" w:rsidRPr="00C67725">
        <w:rPr>
          <w:rFonts w:ascii="Arial" w:hAnsi="Arial" w:cs="Arial"/>
          <w:spacing w:val="-4"/>
          <w:sz w:val="24"/>
          <w:szCs w:val="27"/>
        </w:rPr>
        <w:t>está a cargo de los doctores Nicolás Velázquez Limón y José Efrén Ruelas Ruíz del Instituto de Ingeniería del Campus Mexicali. Es</w:t>
      </w:r>
      <w:r w:rsidR="00E17A93" w:rsidRPr="00C67725">
        <w:rPr>
          <w:rFonts w:ascii="Arial" w:hAnsi="Arial" w:cs="Arial"/>
          <w:spacing w:val="-4"/>
          <w:sz w:val="24"/>
        </w:rPr>
        <w:t xml:space="preserve"> un concentrador que capta, concentra y convierte la radiación solar en energía térmica por medio de una superficie que corresponde a una sección de disco parabólico y un mecanismo de seguimiento solar con estructuras de soporte compactas, eficientes y económicas.</w:t>
      </w:r>
    </w:p>
    <w:p w:rsidR="00F71A4F" w:rsidRPr="00B438CE" w:rsidRDefault="00F71A4F" w:rsidP="00F71A4F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2"/>
          <w:sz w:val="16"/>
          <w:szCs w:val="16"/>
        </w:rPr>
      </w:pPr>
    </w:p>
    <w:p w:rsidR="00F71A4F" w:rsidRPr="00B438CE" w:rsidRDefault="00F71A4F" w:rsidP="00F71A4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7"/>
        </w:rPr>
      </w:pPr>
      <w:r w:rsidRPr="00B438CE">
        <w:rPr>
          <w:rFonts w:ascii="Arial" w:hAnsi="Arial" w:cs="Arial"/>
          <w:spacing w:val="-2"/>
          <w:sz w:val="24"/>
        </w:rPr>
        <w:t xml:space="preserve">El objetivo de esta invención es proveer un nuevo concentrador solar de bajo precio, fácil de fabricar y de poco mantenimiento, que permita la instalación de motor de Stirling </w:t>
      </w:r>
      <w:r w:rsidR="00C67725">
        <w:rPr>
          <w:rFonts w:ascii="Arial" w:hAnsi="Arial" w:cs="Arial"/>
          <w:spacing w:val="-2"/>
          <w:sz w:val="24"/>
        </w:rPr>
        <w:t>con capacidad para</w:t>
      </w:r>
      <w:r w:rsidRPr="00B438CE">
        <w:rPr>
          <w:rFonts w:ascii="Arial" w:hAnsi="Arial" w:cs="Arial"/>
          <w:spacing w:val="-2"/>
          <w:sz w:val="24"/>
        </w:rPr>
        <w:t xml:space="preserve"> emplear un sistema híbrido solar biogás u otro combustible. Sus características técnicas y económicas son recomendables para satisfacer las diferentes necesidades de energía térmica de alta temperatura (mayor a </w:t>
      </w:r>
      <w:r w:rsidRPr="00E30635">
        <w:rPr>
          <w:rFonts w:ascii="Arial" w:hAnsi="Arial" w:cs="Arial"/>
          <w:sz w:val="24"/>
          <w:szCs w:val="27"/>
        </w:rPr>
        <w:t>250 °C)</w:t>
      </w:r>
      <w:r w:rsidRPr="00B438CE">
        <w:rPr>
          <w:rFonts w:ascii="Arial" w:hAnsi="Arial" w:cs="Arial"/>
          <w:sz w:val="24"/>
          <w:szCs w:val="27"/>
        </w:rPr>
        <w:t xml:space="preserve"> de los sectores residencial, comercial, industrial, energético</w:t>
      </w:r>
      <w:r w:rsidR="00223387" w:rsidRPr="00B438CE">
        <w:rPr>
          <w:rFonts w:ascii="Arial" w:hAnsi="Arial" w:cs="Arial"/>
          <w:sz w:val="24"/>
          <w:szCs w:val="27"/>
        </w:rPr>
        <w:t>, a</w:t>
      </w:r>
      <w:r w:rsidRPr="00B438CE">
        <w:rPr>
          <w:rFonts w:ascii="Arial" w:hAnsi="Arial" w:cs="Arial"/>
          <w:sz w:val="24"/>
          <w:szCs w:val="27"/>
        </w:rPr>
        <w:t>grícola y</w:t>
      </w:r>
      <w:r w:rsidR="00223387" w:rsidRPr="00B438CE">
        <w:rPr>
          <w:rFonts w:ascii="Arial" w:hAnsi="Arial" w:cs="Arial"/>
          <w:sz w:val="24"/>
          <w:szCs w:val="27"/>
        </w:rPr>
        <w:t xml:space="preserve"> ganadero.</w:t>
      </w:r>
    </w:p>
    <w:p w:rsidR="00C67725" w:rsidRPr="00C67725" w:rsidRDefault="00C67725" w:rsidP="007F6CFD">
      <w:pPr>
        <w:jc w:val="both"/>
        <w:rPr>
          <w:rFonts w:ascii="Arial" w:hAnsi="Arial" w:cs="Arial"/>
          <w:color w:val="222222"/>
          <w:sz w:val="16"/>
          <w:szCs w:val="16"/>
        </w:rPr>
      </w:pPr>
    </w:p>
    <w:p w:rsidR="00A32950" w:rsidRPr="00C67725" w:rsidRDefault="00C67725" w:rsidP="007F6CFD">
      <w:pPr>
        <w:jc w:val="both"/>
        <w:rPr>
          <w:rFonts w:ascii="Arial" w:eastAsia="Century Gothic" w:hAnsi="Arial" w:cs="Arial"/>
          <w:spacing w:val="-4"/>
          <w:sz w:val="24"/>
          <w:szCs w:val="16"/>
        </w:rPr>
      </w:pPr>
      <w:r w:rsidRPr="00C67725">
        <w:rPr>
          <w:rFonts w:ascii="Arial" w:hAnsi="Arial" w:cs="Arial"/>
          <w:color w:val="222222"/>
          <w:spacing w:val="-4"/>
          <w:sz w:val="24"/>
        </w:rPr>
        <w:t>E</w:t>
      </w:r>
      <w:r w:rsidR="007F6CFD" w:rsidRPr="00C67725">
        <w:rPr>
          <w:rFonts w:ascii="Arial" w:hAnsi="Arial" w:cs="Arial"/>
          <w:color w:val="222222"/>
          <w:spacing w:val="-4"/>
          <w:sz w:val="24"/>
        </w:rPr>
        <w:t>l modelo de utilidad “</w:t>
      </w:r>
      <w:r w:rsidR="00A32950" w:rsidRPr="00C67725">
        <w:rPr>
          <w:rFonts w:ascii="Arial" w:eastAsia="Century Gothic" w:hAnsi="Arial" w:cs="Arial"/>
          <w:spacing w:val="-4"/>
          <w:sz w:val="24"/>
          <w:szCs w:val="16"/>
        </w:rPr>
        <w:t>Dispositivo anti evaporación para macetas</w:t>
      </w:r>
      <w:r w:rsidR="007F6CFD" w:rsidRPr="00C67725">
        <w:rPr>
          <w:rFonts w:ascii="Arial" w:eastAsia="Century Gothic" w:hAnsi="Arial" w:cs="Arial"/>
          <w:spacing w:val="-4"/>
          <w:sz w:val="24"/>
          <w:szCs w:val="16"/>
        </w:rPr>
        <w:t xml:space="preserve">”, cuyos investigadores son los doctores </w:t>
      </w:r>
      <w:r w:rsidR="00A32950" w:rsidRPr="00C67725">
        <w:rPr>
          <w:rFonts w:ascii="Arial" w:eastAsia="Century Gothic" w:hAnsi="Arial" w:cs="Arial"/>
          <w:spacing w:val="-4"/>
          <w:sz w:val="24"/>
          <w:szCs w:val="16"/>
        </w:rPr>
        <w:t>José Rubén Campos Gaytán, José Alonso Aguilar Ojeda, Isidro Bazante González y Claudia Soledad Herrera Oliva, quienes están adscritos a la Facultad de Ingeniería, Arquitectura y Diseño, así como a la Facultad de Ingeniería y Negocios San Quintín, ambas del Campus Ensenada</w:t>
      </w:r>
      <w:r w:rsidR="007F6CFD" w:rsidRPr="00C67725">
        <w:rPr>
          <w:rFonts w:ascii="Arial" w:eastAsia="Century Gothic" w:hAnsi="Arial" w:cs="Arial"/>
          <w:spacing w:val="-4"/>
          <w:sz w:val="24"/>
          <w:szCs w:val="16"/>
        </w:rPr>
        <w:t xml:space="preserve">. </w:t>
      </w:r>
    </w:p>
    <w:p w:rsidR="00A32950" w:rsidRPr="00A32950" w:rsidRDefault="00A32950" w:rsidP="007F6CFD">
      <w:pPr>
        <w:jc w:val="both"/>
        <w:rPr>
          <w:rFonts w:ascii="Arial" w:eastAsia="Century Gothic" w:hAnsi="Arial" w:cs="Arial"/>
          <w:sz w:val="16"/>
          <w:szCs w:val="16"/>
        </w:rPr>
      </w:pPr>
    </w:p>
    <w:p w:rsidR="007F6CFD" w:rsidRDefault="007F6CFD" w:rsidP="007F6CFD">
      <w:pPr>
        <w:jc w:val="both"/>
        <w:rPr>
          <w:rFonts w:ascii="Arial" w:eastAsia="Century Gothic" w:hAnsi="Arial" w:cs="Arial"/>
          <w:sz w:val="24"/>
          <w:szCs w:val="16"/>
        </w:rPr>
      </w:pPr>
      <w:r>
        <w:rPr>
          <w:rFonts w:ascii="Arial" w:eastAsia="Century Gothic" w:hAnsi="Arial" w:cs="Arial"/>
          <w:sz w:val="24"/>
          <w:szCs w:val="16"/>
        </w:rPr>
        <w:t xml:space="preserve">Este dispositivo </w:t>
      </w:r>
      <w:r w:rsidR="00C67725">
        <w:rPr>
          <w:rFonts w:ascii="Arial" w:eastAsia="Century Gothic" w:hAnsi="Arial" w:cs="Arial"/>
          <w:sz w:val="24"/>
          <w:szCs w:val="16"/>
        </w:rPr>
        <w:t>fue</w:t>
      </w:r>
      <w:r>
        <w:rPr>
          <w:rFonts w:ascii="Arial" w:eastAsia="Century Gothic" w:hAnsi="Arial" w:cs="Arial"/>
          <w:sz w:val="24"/>
          <w:szCs w:val="16"/>
        </w:rPr>
        <w:t xml:space="preserve"> diseñado para </w:t>
      </w:r>
      <w:r w:rsidR="00A32950">
        <w:rPr>
          <w:rFonts w:ascii="Arial" w:eastAsia="Century Gothic" w:hAnsi="Arial" w:cs="Arial"/>
          <w:sz w:val="24"/>
          <w:szCs w:val="16"/>
        </w:rPr>
        <w:t>retener el vapor de las macetas utilizadas en la agricultura, sin dañar las plantas. Debido a su forma de cono convexo</w:t>
      </w:r>
      <w:r w:rsidR="0022596B">
        <w:rPr>
          <w:rFonts w:ascii="Arial" w:eastAsia="Century Gothic" w:hAnsi="Arial" w:cs="Arial"/>
          <w:sz w:val="24"/>
          <w:szCs w:val="16"/>
        </w:rPr>
        <w:t xml:space="preserve"> mantiene el tallo de las plantas con aireación, lo que ayuda a que no haya exceso de humedad y </w:t>
      </w:r>
      <w:r w:rsidR="00C67725">
        <w:rPr>
          <w:rFonts w:ascii="Arial" w:eastAsia="Century Gothic" w:hAnsi="Arial" w:cs="Arial"/>
          <w:sz w:val="24"/>
          <w:szCs w:val="16"/>
        </w:rPr>
        <w:t>se disminuya</w:t>
      </w:r>
      <w:r w:rsidR="0022596B">
        <w:rPr>
          <w:rFonts w:ascii="Arial" w:eastAsia="Century Gothic" w:hAnsi="Arial" w:cs="Arial"/>
          <w:sz w:val="24"/>
          <w:szCs w:val="16"/>
        </w:rPr>
        <w:t xml:space="preserve"> la posibilidad de desarrollo de hongos; también permite el aprovechamiento del agua precipitada, ya sea por lluvia o riego, dirigiéndola hacia la maceta por la parte central. </w:t>
      </w:r>
    </w:p>
    <w:p w:rsidR="0022596B" w:rsidRPr="0022596B" w:rsidRDefault="0022596B" w:rsidP="007F6CFD">
      <w:pPr>
        <w:jc w:val="both"/>
        <w:rPr>
          <w:rFonts w:ascii="Arial" w:eastAsia="Century Gothic" w:hAnsi="Arial" w:cs="Arial"/>
          <w:sz w:val="16"/>
          <w:szCs w:val="16"/>
        </w:rPr>
      </w:pPr>
    </w:p>
    <w:p w:rsidR="0022596B" w:rsidRPr="00A36713" w:rsidRDefault="00A36713" w:rsidP="0022596B">
      <w:pPr>
        <w:jc w:val="both"/>
        <w:rPr>
          <w:rFonts w:ascii="Arial" w:hAnsi="Arial" w:cs="Arial"/>
          <w:sz w:val="24"/>
        </w:rPr>
      </w:pPr>
      <w:r w:rsidRPr="00A36713">
        <w:rPr>
          <w:rFonts w:ascii="Arial" w:hAnsi="Arial" w:cs="Arial"/>
          <w:sz w:val="24"/>
        </w:rPr>
        <w:t xml:space="preserve">Cabe mencionar que el título de patente se </w:t>
      </w:r>
      <w:r w:rsidR="0022596B" w:rsidRPr="00A36713">
        <w:rPr>
          <w:rFonts w:ascii="Arial" w:hAnsi="Arial" w:cs="Arial"/>
          <w:sz w:val="24"/>
        </w:rPr>
        <w:t xml:space="preserve">concede </w:t>
      </w:r>
      <w:r w:rsidRPr="00A36713">
        <w:rPr>
          <w:rFonts w:ascii="Arial" w:hAnsi="Arial" w:cs="Arial"/>
          <w:sz w:val="24"/>
        </w:rPr>
        <w:t>a</w:t>
      </w:r>
      <w:r w:rsidR="0022596B" w:rsidRPr="00A36713">
        <w:rPr>
          <w:rFonts w:ascii="Arial" w:hAnsi="Arial" w:cs="Arial"/>
          <w:sz w:val="24"/>
        </w:rPr>
        <w:t xml:space="preserve"> un producto o proceso que</w:t>
      </w:r>
      <w:r w:rsidRPr="00A36713">
        <w:rPr>
          <w:rFonts w:ascii="Arial" w:hAnsi="Arial" w:cs="Arial"/>
          <w:sz w:val="24"/>
        </w:rPr>
        <w:t xml:space="preserve"> generalmente ofrece </w:t>
      </w:r>
      <w:r w:rsidR="0022596B" w:rsidRPr="00A36713">
        <w:rPr>
          <w:rFonts w:ascii="Arial" w:hAnsi="Arial" w:cs="Arial"/>
          <w:sz w:val="24"/>
        </w:rPr>
        <w:t xml:space="preserve">una </w:t>
      </w:r>
      <w:r w:rsidRPr="00A36713">
        <w:rPr>
          <w:rFonts w:ascii="Arial" w:hAnsi="Arial" w:cs="Arial"/>
          <w:sz w:val="24"/>
        </w:rPr>
        <w:t xml:space="preserve">innovación </w:t>
      </w:r>
      <w:r w:rsidR="0022596B" w:rsidRPr="00A36713">
        <w:rPr>
          <w:rFonts w:ascii="Arial" w:hAnsi="Arial" w:cs="Arial"/>
          <w:sz w:val="24"/>
        </w:rPr>
        <w:t>o una nueva solución técnica a un problema</w:t>
      </w:r>
      <w:r w:rsidRPr="00A36713">
        <w:rPr>
          <w:rFonts w:ascii="Arial" w:hAnsi="Arial" w:cs="Arial"/>
          <w:sz w:val="24"/>
        </w:rPr>
        <w:t xml:space="preserve">, mientras que </w:t>
      </w:r>
      <w:r w:rsidR="0022596B" w:rsidRPr="00A36713">
        <w:rPr>
          <w:rFonts w:ascii="Arial" w:hAnsi="Arial" w:cs="Arial"/>
          <w:sz w:val="24"/>
        </w:rPr>
        <w:t>el modelo de utilidad</w:t>
      </w:r>
      <w:r w:rsidRPr="00A36713">
        <w:rPr>
          <w:rFonts w:ascii="Arial" w:hAnsi="Arial" w:cs="Arial"/>
          <w:sz w:val="24"/>
        </w:rPr>
        <w:t xml:space="preserve"> se define como </w:t>
      </w:r>
      <w:r w:rsidR="0022596B" w:rsidRPr="00A36713">
        <w:rPr>
          <w:rFonts w:ascii="Arial" w:hAnsi="Arial" w:cs="Arial"/>
          <w:sz w:val="24"/>
        </w:rPr>
        <w:t xml:space="preserve">una mejora que da una nueva funcionalidad a utensilios, aparatos, dispositivos, herramientas o maquinarias a </w:t>
      </w:r>
      <w:r w:rsidRPr="00A36713">
        <w:rPr>
          <w:rFonts w:ascii="Arial" w:hAnsi="Arial" w:cs="Arial"/>
          <w:sz w:val="24"/>
        </w:rPr>
        <w:t>fin de facilitar la vida diaria</w:t>
      </w:r>
      <w:r w:rsidR="0022596B" w:rsidRPr="00A36713">
        <w:rPr>
          <w:rFonts w:ascii="Arial" w:hAnsi="Arial" w:cs="Arial"/>
          <w:sz w:val="24"/>
        </w:rPr>
        <w:t xml:space="preserve">. </w:t>
      </w:r>
    </w:p>
    <w:p w:rsidR="0022596B" w:rsidRPr="00E30635" w:rsidRDefault="0022596B" w:rsidP="0022596B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A36713" w:rsidRPr="00D43CAD" w:rsidRDefault="007F6CFD" w:rsidP="007F6CFD">
      <w:pPr>
        <w:jc w:val="both"/>
        <w:rPr>
          <w:rFonts w:ascii="Arial" w:hAnsi="Arial" w:cs="Arial"/>
          <w:spacing w:val="-2"/>
          <w:sz w:val="24"/>
        </w:rPr>
      </w:pPr>
      <w:r w:rsidRPr="00A36713">
        <w:rPr>
          <w:rFonts w:ascii="Arial" w:hAnsi="Arial" w:cs="Arial"/>
          <w:sz w:val="24"/>
          <w:szCs w:val="24"/>
        </w:rPr>
        <w:t xml:space="preserve">La licenciada Aide Ginera Aparicio, jefa del Departamento de Propiedad Intelectual y </w:t>
      </w:r>
      <w:r w:rsidRPr="00206508">
        <w:rPr>
          <w:rFonts w:ascii="Arial" w:hAnsi="Arial" w:cs="Arial"/>
          <w:spacing w:val="-2"/>
          <w:sz w:val="24"/>
          <w:szCs w:val="24"/>
        </w:rPr>
        <w:t>Transferencia,</w:t>
      </w:r>
      <w:r w:rsidR="00A36713" w:rsidRPr="00206508">
        <w:rPr>
          <w:rFonts w:ascii="Arial" w:hAnsi="Arial" w:cs="Arial"/>
          <w:spacing w:val="-2"/>
          <w:sz w:val="24"/>
          <w:szCs w:val="24"/>
        </w:rPr>
        <w:t xml:space="preserve"> depend</w:t>
      </w:r>
      <w:r w:rsidR="0033277E">
        <w:rPr>
          <w:rFonts w:ascii="Arial" w:hAnsi="Arial" w:cs="Arial"/>
          <w:spacing w:val="-2"/>
          <w:sz w:val="24"/>
          <w:szCs w:val="24"/>
        </w:rPr>
        <w:t>iente</w:t>
      </w:r>
      <w:r w:rsidR="00A36713" w:rsidRPr="00206508">
        <w:rPr>
          <w:rFonts w:ascii="Arial" w:hAnsi="Arial" w:cs="Arial"/>
          <w:spacing w:val="-2"/>
          <w:sz w:val="24"/>
          <w:szCs w:val="24"/>
        </w:rPr>
        <w:t xml:space="preserve"> </w:t>
      </w:r>
      <w:r w:rsidR="00206508" w:rsidRPr="00206508">
        <w:rPr>
          <w:rFonts w:ascii="Arial" w:hAnsi="Arial" w:cs="Arial"/>
          <w:spacing w:val="-2"/>
          <w:sz w:val="24"/>
          <w:szCs w:val="24"/>
        </w:rPr>
        <w:t xml:space="preserve">de </w:t>
      </w:r>
      <w:r w:rsidR="00A36713" w:rsidRPr="00206508">
        <w:rPr>
          <w:rFonts w:ascii="Arial" w:hAnsi="Arial" w:cs="Arial"/>
          <w:spacing w:val="-2"/>
          <w:sz w:val="24"/>
          <w:szCs w:val="24"/>
        </w:rPr>
        <w:t>la Coordinación General de Investigación y Posgrado</w:t>
      </w:r>
      <w:r w:rsidR="00206508" w:rsidRPr="00206508">
        <w:rPr>
          <w:rFonts w:ascii="Arial" w:hAnsi="Arial" w:cs="Arial"/>
          <w:spacing w:val="-2"/>
          <w:sz w:val="24"/>
          <w:szCs w:val="24"/>
        </w:rPr>
        <w:t xml:space="preserve">, expresó que la UABC seguirá fomentando investigaciones científicas y tecnológicas pertinentes para resolver diversas problemáticas, lo que da cabida a que algunos de sus resultados se materialicen </w:t>
      </w:r>
      <w:r w:rsidR="00206508" w:rsidRPr="00206508">
        <w:rPr>
          <w:rFonts w:ascii="Arial" w:hAnsi="Arial" w:cs="Arial"/>
          <w:spacing w:val="-2"/>
          <w:sz w:val="24"/>
        </w:rPr>
        <w:t>en invenciones y creaciones generadas por los integrantes de la comunidad cimarrona.</w:t>
      </w:r>
      <w:r w:rsidR="0033277E">
        <w:rPr>
          <w:rFonts w:ascii="Arial" w:hAnsi="Arial" w:cs="Arial"/>
          <w:spacing w:val="-2"/>
          <w:sz w:val="24"/>
        </w:rPr>
        <w:t xml:space="preserve"> Finalmente, detalló que en total la </w:t>
      </w:r>
      <w:r w:rsidR="00FC2827">
        <w:rPr>
          <w:rFonts w:ascii="Arial" w:hAnsi="Arial" w:cs="Arial"/>
          <w:spacing w:val="-2"/>
          <w:sz w:val="24"/>
        </w:rPr>
        <w:t>UABC</w:t>
      </w:r>
      <w:bookmarkStart w:id="1" w:name="_GoBack"/>
      <w:bookmarkEnd w:id="1"/>
      <w:r w:rsidR="0033277E">
        <w:rPr>
          <w:rFonts w:ascii="Arial" w:hAnsi="Arial" w:cs="Arial"/>
          <w:spacing w:val="-2"/>
          <w:sz w:val="24"/>
        </w:rPr>
        <w:t xml:space="preserve"> cuenta con 17 invenciones, de las cuales 15 son patentes y 2 modelos de utilidad. </w:t>
      </w:r>
    </w:p>
    <w:p w:rsidR="00C67725" w:rsidRDefault="00C67725" w:rsidP="00C0102B">
      <w:pPr>
        <w:jc w:val="right"/>
        <w:rPr>
          <w:rFonts w:ascii="Arial" w:hAnsi="Arial" w:cs="Arial"/>
          <w:color w:val="FFFFFF" w:themeColor="background1"/>
          <w:spacing w:val="-2"/>
          <w:sz w:val="16"/>
        </w:rPr>
      </w:pPr>
    </w:p>
    <w:p w:rsidR="00C67725" w:rsidRDefault="00C67725" w:rsidP="00C0102B">
      <w:pPr>
        <w:jc w:val="right"/>
        <w:rPr>
          <w:rFonts w:ascii="Arial" w:hAnsi="Arial" w:cs="Arial"/>
          <w:color w:val="FFFFFF" w:themeColor="background1"/>
          <w:spacing w:val="-2"/>
          <w:sz w:val="16"/>
        </w:rPr>
      </w:pPr>
    </w:p>
    <w:p w:rsidR="0033277E" w:rsidRPr="00D43CAD" w:rsidRDefault="00C0102B" w:rsidP="00C0102B">
      <w:pPr>
        <w:jc w:val="right"/>
        <w:rPr>
          <w:rFonts w:ascii="Arial" w:hAnsi="Arial" w:cs="Arial"/>
          <w:color w:val="FFFFFF" w:themeColor="background1"/>
          <w:spacing w:val="-2"/>
          <w:sz w:val="16"/>
        </w:rPr>
      </w:pPr>
      <w:r w:rsidRPr="00D43CAD">
        <w:rPr>
          <w:rFonts w:ascii="Arial" w:hAnsi="Arial" w:cs="Arial"/>
          <w:color w:val="FFFFFF" w:themeColor="background1"/>
          <w:spacing w:val="-2"/>
          <w:sz w:val="16"/>
        </w:rPr>
        <w:t>Por: Norma Angélica Gómez Bravo</w:t>
      </w:r>
      <w:r w:rsidR="00D43CAD" w:rsidRPr="00D43CAD">
        <w:rPr>
          <w:rFonts w:ascii="Arial" w:hAnsi="Arial" w:cs="Arial"/>
          <w:color w:val="FFFFFF" w:themeColor="background1"/>
          <w:spacing w:val="-2"/>
          <w:sz w:val="16"/>
        </w:rPr>
        <w:t>. Fotos: Banco de imágenes</w:t>
      </w:r>
    </w:p>
    <w:sectPr w:rsidR="0033277E" w:rsidRPr="00D43CAD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28A" w:rsidRDefault="00BC328A">
      <w:r>
        <w:separator/>
      </w:r>
    </w:p>
  </w:endnote>
  <w:endnote w:type="continuationSeparator" w:id="0">
    <w:p w:rsidR="00BC328A" w:rsidRDefault="00BC3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28A" w:rsidRDefault="00BC328A">
      <w:r>
        <w:rPr>
          <w:color w:val="000000"/>
        </w:rPr>
        <w:separator/>
      </w:r>
    </w:p>
  </w:footnote>
  <w:footnote w:type="continuationSeparator" w:id="0">
    <w:p w:rsidR="00BC328A" w:rsidRDefault="00BC3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  <w:jc w:val="left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13E331FB"/>
    <w:multiLevelType w:val="hybridMultilevel"/>
    <w:tmpl w:val="545CC0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42AD7"/>
    <w:multiLevelType w:val="hybridMultilevel"/>
    <w:tmpl w:val="5B207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17D20"/>
    <w:multiLevelType w:val="multilevel"/>
    <w:tmpl w:val="32D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8" w15:restartNumberingAfterBreak="0">
    <w:nsid w:val="221F3B4D"/>
    <w:multiLevelType w:val="hybridMultilevel"/>
    <w:tmpl w:val="4F4A3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10" w15:restartNumberingAfterBreak="0">
    <w:nsid w:val="2C9346EA"/>
    <w:multiLevelType w:val="hybridMultilevel"/>
    <w:tmpl w:val="687CE5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44A27"/>
    <w:multiLevelType w:val="hybridMultilevel"/>
    <w:tmpl w:val="0B344E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7" w15:restartNumberingAfterBreak="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18" w15:restartNumberingAfterBreak="0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16"/>
  </w:num>
  <w:num w:numId="5">
    <w:abstractNumId w:val="0"/>
  </w:num>
  <w:num w:numId="6">
    <w:abstractNumId w:val="18"/>
  </w:num>
  <w:num w:numId="7">
    <w:abstractNumId w:val="9"/>
  </w:num>
  <w:num w:numId="8">
    <w:abstractNumId w:val="2"/>
  </w:num>
  <w:num w:numId="9">
    <w:abstractNumId w:val="7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12"/>
  </w:num>
  <w:num w:numId="15">
    <w:abstractNumId w:val="6"/>
  </w:num>
  <w:num w:numId="16">
    <w:abstractNumId w:val="11"/>
  </w:num>
  <w:num w:numId="17">
    <w:abstractNumId w:val="5"/>
  </w:num>
  <w:num w:numId="18">
    <w:abstractNumId w:val="4"/>
  </w:num>
  <w:num w:numId="19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97C"/>
    <w:rsid w:val="00026AC2"/>
    <w:rsid w:val="00026F6D"/>
    <w:rsid w:val="000272E9"/>
    <w:rsid w:val="000274D0"/>
    <w:rsid w:val="00027571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198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59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19E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5AC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4AC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9ED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291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28B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28F"/>
    <w:rsid w:val="00205AE5"/>
    <w:rsid w:val="00205BED"/>
    <w:rsid w:val="002060BA"/>
    <w:rsid w:val="0020634F"/>
    <w:rsid w:val="00206398"/>
    <w:rsid w:val="0020646F"/>
    <w:rsid w:val="00206508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387"/>
    <w:rsid w:val="00223414"/>
    <w:rsid w:val="0022362D"/>
    <w:rsid w:val="0022384B"/>
    <w:rsid w:val="00223BF5"/>
    <w:rsid w:val="0022447D"/>
    <w:rsid w:val="0022512D"/>
    <w:rsid w:val="00225251"/>
    <w:rsid w:val="0022596B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5F8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1F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6A1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BE5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22C"/>
    <w:rsid w:val="002F0416"/>
    <w:rsid w:val="002F07FC"/>
    <w:rsid w:val="002F0AB5"/>
    <w:rsid w:val="002F0D77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0E"/>
    <w:rsid w:val="002F6AF8"/>
    <w:rsid w:val="002F6E0D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192C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179E"/>
    <w:rsid w:val="00332028"/>
    <w:rsid w:val="003320EB"/>
    <w:rsid w:val="0033237E"/>
    <w:rsid w:val="003323E5"/>
    <w:rsid w:val="0033277E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53E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4DAA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99C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38D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4E94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73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963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BBF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2F66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A08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6CA8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13D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390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700"/>
    <w:rsid w:val="004D0F90"/>
    <w:rsid w:val="004D103E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7C4"/>
    <w:rsid w:val="004F3804"/>
    <w:rsid w:val="004F3BD6"/>
    <w:rsid w:val="004F40E1"/>
    <w:rsid w:val="004F4745"/>
    <w:rsid w:val="004F60AB"/>
    <w:rsid w:val="004F6888"/>
    <w:rsid w:val="004F6CC8"/>
    <w:rsid w:val="004F6FE6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59E1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7A7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1596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42C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27A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9EC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351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2F8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207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D2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5C7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225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6CFD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6EF9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DA8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2BD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29C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4A47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23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687"/>
    <w:rsid w:val="009E0DB9"/>
    <w:rsid w:val="009E0F58"/>
    <w:rsid w:val="009E170F"/>
    <w:rsid w:val="009E1D30"/>
    <w:rsid w:val="009E219B"/>
    <w:rsid w:val="009E21AA"/>
    <w:rsid w:val="009E2331"/>
    <w:rsid w:val="009E235D"/>
    <w:rsid w:val="009E23A9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0F63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950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71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813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BE1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516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E0C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8CE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B7F63"/>
    <w:rsid w:val="00BC053B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28A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E70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90C"/>
    <w:rsid w:val="00BD695E"/>
    <w:rsid w:val="00BD700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4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02B"/>
    <w:rsid w:val="00C01355"/>
    <w:rsid w:val="00C01ACC"/>
    <w:rsid w:val="00C02698"/>
    <w:rsid w:val="00C02704"/>
    <w:rsid w:val="00C029FE"/>
    <w:rsid w:val="00C02CAF"/>
    <w:rsid w:val="00C02F20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4D9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725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1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48C"/>
    <w:rsid w:val="00CC48D3"/>
    <w:rsid w:val="00CC50C1"/>
    <w:rsid w:val="00CC5287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2DE"/>
    <w:rsid w:val="00CE1A87"/>
    <w:rsid w:val="00CE1F4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3CAD"/>
    <w:rsid w:val="00D44BAE"/>
    <w:rsid w:val="00D44E2A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A43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13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6B7B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25A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098B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C775A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55C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93"/>
    <w:rsid w:val="00E17ADB"/>
    <w:rsid w:val="00E20066"/>
    <w:rsid w:val="00E2036F"/>
    <w:rsid w:val="00E206C4"/>
    <w:rsid w:val="00E208E4"/>
    <w:rsid w:val="00E20BCF"/>
    <w:rsid w:val="00E21299"/>
    <w:rsid w:val="00E21C0A"/>
    <w:rsid w:val="00E222D1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5D5B"/>
    <w:rsid w:val="00E260CE"/>
    <w:rsid w:val="00E26326"/>
    <w:rsid w:val="00E2663F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635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739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FC6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4EA5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07F70"/>
    <w:rsid w:val="00F101B1"/>
    <w:rsid w:val="00F106E5"/>
    <w:rsid w:val="00F107F6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A23"/>
    <w:rsid w:val="00F50C56"/>
    <w:rsid w:val="00F5106F"/>
    <w:rsid w:val="00F511E6"/>
    <w:rsid w:val="00F51220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1F0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A4F"/>
    <w:rsid w:val="00F71B5B"/>
    <w:rsid w:val="00F71EC7"/>
    <w:rsid w:val="00F71F23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00A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777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95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A25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339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827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8B8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550007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90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96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0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3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1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20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2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9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49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298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20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87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18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501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47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093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1378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737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902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614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6292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9584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5428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5909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9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1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6D4C9-A7C1-4F28-A4D8-249C0DF1A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512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12</cp:revision>
  <cp:lastPrinted>2020-03-12T17:46:00Z</cp:lastPrinted>
  <dcterms:created xsi:type="dcterms:W3CDTF">2021-02-02T19:32:00Z</dcterms:created>
  <dcterms:modified xsi:type="dcterms:W3CDTF">2021-02-03T20:56:00Z</dcterms:modified>
</cp:coreProperties>
</file>