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4DCA5308"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3C4E4A">
        <w:rPr>
          <w:rFonts w:ascii="Arial" w:hAnsi="Arial" w:cs="Arial"/>
          <w:b/>
          <w:sz w:val="24"/>
          <w:szCs w:val="24"/>
        </w:rPr>
        <w:t>5</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3C4E4A" w:rsidRDefault="003C4E4A" w:rsidP="003C4E4A">
      <w:pPr>
        <w:shd w:val="clear" w:color="auto" w:fill="FFFFFF"/>
        <w:suppressAutoHyphens w:val="0"/>
        <w:autoSpaceDN/>
        <w:jc w:val="center"/>
        <w:textAlignment w:val="auto"/>
        <w:rPr>
          <w:rFonts w:ascii="Arial" w:hAnsi="Arial" w:cs="Arial"/>
          <w:color w:val="000000"/>
          <w:spacing w:val="-6"/>
          <w:sz w:val="16"/>
          <w:szCs w:val="16"/>
        </w:rPr>
      </w:pPr>
    </w:p>
    <w:p w14:paraId="49E193DA" w14:textId="16A5F04D" w:rsidR="003C4E4A" w:rsidRPr="003C4E4A" w:rsidRDefault="003C4E4A" w:rsidP="003C4E4A">
      <w:pPr>
        <w:shd w:val="clear" w:color="auto" w:fill="FFFFFF"/>
        <w:autoSpaceDN/>
        <w:jc w:val="center"/>
        <w:textAlignment w:val="auto"/>
        <w:rPr>
          <w:rFonts w:ascii="Arial" w:hAnsi="Arial" w:cs="Arial"/>
          <w:b/>
          <w:color w:val="222222"/>
          <w:spacing w:val="-6"/>
          <w:sz w:val="35"/>
          <w:szCs w:val="35"/>
        </w:rPr>
      </w:pPr>
      <w:bookmarkStart w:id="0" w:name="_GoBack"/>
      <w:r w:rsidRPr="003C4E4A">
        <w:rPr>
          <w:rFonts w:ascii="Arial" w:hAnsi="Arial" w:cs="Arial"/>
          <w:b/>
          <w:color w:val="000000"/>
          <w:spacing w:val="-6"/>
          <w:sz w:val="35"/>
          <w:szCs w:val="35"/>
        </w:rPr>
        <w:t>Evalúa UABC logros institucionales de la actual gestión rectoral</w:t>
      </w:r>
    </w:p>
    <w:p w14:paraId="18106DE0" w14:textId="77777777" w:rsidR="003C4E4A" w:rsidRDefault="003C4E4A" w:rsidP="003C4E4A">
      <w:pPr>
        <w:shd w:val="clear" w:color="auto" w:fill="FFFFFF"/>
        <w:autoSpaceDN/>
        <w:jc w:val="both"/>
        <w:textAlignment w:val="auto"/>
        <w:rPr>
          <w:rFonts w:ascii="Arial" w:hAnsi="Arial" w:cs="Arial"/>
          <w:color w:val="000000"/>
          <w:sz w:val="24"/>
          <w:szCs w:val="24"/>
        </w:rPr>
      </w:pPr>
    </w:p>
    <w:p w14:paraId="7013BEFD" w14:textId="0B7242F2" w:rsidR="003C4E4A" w:rsidRPr="003C4E4A" w:rsidRDefault="003C4E4A" w:rsidP="003C4E4A">
      <w:pPr>
        <w:pStyle w:val="Prrafodelista"/>
        <w:numPr>
          <w:ilvl w:val="0"/>
          <w:numId w:val="24"/>
        </w:numPr>
        <w:shd w:val="clear" w:color="auto" w:fill="FFFFFF"/>
        <w:autoSpaceDN/>
        <w:ind w:left="284" w:hanging="284"/>
        <w:jc w:val="both"/>
        <w:textAlignment w:val="auto"/>
        <w:rPr>
          <w:rFonts w:ascii="Arial" w:hAnsi="Arial" w:cs="Arial"/>
          <w:color w:val="000000"/>
          <w:sz w:val="24"/>
          <w:szCs w:val="24"/>
        </w:rPr>
      </w:pPr>
      <w:r w:rsidRPr="003C4E4A">
        <w:rPr>
          <w:rFonts w:ascii="Arial" w:hAnsi="Arial" w:cs="Arial"/>
          <w:color w:val="000000"/>
          <w:sz w:val="24"/>
          <w:szCs w:val="24"/>
        </w:rPr>
        <w:t>Se discutieron y valoraron el nivel de avance y cumplimiento de las 12 políticas, 30 estrategias y 127 acciones institucionales comprometidas en el PDI 2019-2023.</w:t>
      </w:r>
    </w:p>
    <w:p w14:paraId="59D68B2C" w14:textId="77777777" w:rsidR="003C4E4A" w:rsidRDefault="003C4E4A" w:rsidP="003C4E4A">
      <w:pPr>
        <w:shd w:val="clear" w:color="auto" w:fill="FFFFFF"/>
        <w:autoSpaceDN/>
        <w:jc w:val="both"/>
        <w:textAlignment w:val="auto"/>
        <w:rPr>
          <w:rFonts w:ascii="Arial" w:hAnsi="Arial" w:cs="Arial"/>
          <w:color w:val="000000"/>
          <w:sz w:val="24"/>
          <w:szCs w:val="24"/>
        </w:rPr>
      </w:pPr>
    </w:p>
    <w:p w14:paraId="75AB1EEC" w14:textId="6D84A3AB" w:rsidR="003C4E4A" w:rsidRDefault="003C4E4A" w:rsidP="003C4E4A">
      <w:pPr>
        <w:shd w:val="clear" w:color="auto" w:fill="FFFFFF"/>
        <w:autoSpaceDN/>
        <w:jc w:val="both"/>
        <w:textAlignment w:val="auto"/>
        <w:rPr>
          <w:rFonts w:ascii="Arial" w:hAnsi="Arial" w:cs="Arial"/>
          <w:color w:val="000000"/>
          <w:sz w:val="24"/>
          <w:szCs w:val="24"/>
        </w:rPr>
      </w:pPr>
      <w:r w:rsidRPr="003C4E4A">
        <w:rPr>
          <w:rFonts w:ascii="Arial" w:hAnsi="Arial" w:cs="Arial"/>
          <w:b/>
          <w:color w:val="000000"/>
          <w:sz w:val="24"/>
          <w:szCs w:val="24"/>
        </w:rPr>
        <w:t xml:space="preserve">Mexicali, Baja California, </w:t>
      </w:r>
      <w:r w:rsidR="000C289D">
        <w:rPr>
          <w:rFonts w:ascii="Arial" w:hAnsi="Arial" w:cs="Arial"/>
          <w:b/>
          <w:color w:val="000000"/>
          <w:sz w:val="24"/>
          <w:szCs w:val="24"/>
        </w:rPr>
        <w:t>lunes 10</w:t>
      </w:r>
      <w:r w:rsidRPr="003C4E4A">
        <w:rPr>
          <w:rFonts w:ascii="Arial" w:hAnsi="Arial" w:cs="Arial"/>
          <w:b/>
          <w:color w:val="000000"/>
          <w:sz w:val="24"/>
          <w:szCs w:val="24"/>
        </w:rPr>
        <w:t xml:space="preserve"> de mayo de 2021</w:t>
      </w:r>
      <w:r>
        <w:rPr>
          <w:rFonts w:ascii="Arial" w:hAnsi="Arial" w:cs="Arial"/>
          <w:color w:val="000000"/>
          <w:sz w:val="24"/>
          <w:szCs w:val="24"/>
        </w:rPr>
        <w:t xml:space="preserve">.- </w:t>
      </w:r>
      <w:r w:rsidRPr="003C4E4A">
        <w:rPr>
          <w:rFonts w:ascii="Arial" w:hAnsi="Arial" w:cs="Arial"/>
          <w:color w:val="000000"/>
          <w:sz w:val="24"/>
          <w:szCs w:val="24"/>
        </w:rPr>
        <w:t>Con el propósito de valorar el nivel de cumplimiento que registran cada una de las políticas, estrategias y acciones comprometidas en el Plan de Desarrollo Institucional (PDI) 2019-2023, se celebró la tercera sesión de trabajo de los Grupos Técnicos de Planeación y Seguimiento (GTPS), los cuales se encuentran conformados por alumnos, personal académico y administrativo, directivos y funcionarios de la Universidad Autónoma de Baja California (UABC). </w:t>
      </w:r>
    </w:p>
    <w:p w14:paraId="06D79EA2" w14:textId="17DFEC7B" w:rsidR="003C4E4A" w:rsidRPr="003C4E4A" w:rsidRDefault="003C4E4A" w:rsidP="003C4E4A">
      <w:pPr>
        <w:shd w:val="clear" w:color="auto" w:fill="FFFFFF"/>
        <w:autoSpaceDN/>
        <w:jc w:val="both"/>
        <w:textAlignment w:val="auto"/>
        <w:rPr>
          <w:rFonts w:ascii="Arial" w:hAnsi="Arial" w:cs="Arial"/>
          <w:color w:val="222222"/>
          <w:sz w:val="24"/>
        </w:rPr>
      </w:pPr>
    </w:p>
    <w:p w14:paraId="047FFAA3" w14:textId="313D1A11" w:rsidR="003C4E4A" w:rsidRPr="003C4E4A" w:rsidRDefault="003C4E4A" w:rsidP="003C4E4A">
      <w:pPr>
        <w:shd w:val="clear" w:color="auto" w:fill="FFFFFF"/>
        <w:autoSpaceDN/>
        <w:jc w:val="both"/>
        <w:textAlignment w:val="auto"/>
        <w:rPr>
          <w:rFonts w:ascii="Arial" w:hAnsi="Arial" w:cs="Arial"/>
          <w:color w:val="222222"/>
          <w:sz w:val="24"/>
        </w:rPr>
      </w:pPr>
      <w:r w:rsidRPr="003C4E4A">
        <w:rPr>
          <w:rFonts w:ascii="Arial" w:hAnsi="Arial" w:cs="Arial"/>
          <w:color w:val="222222"/>
          <w:sz w:val="24"/>
        </w:rPr>
        <w:t>El rector de la UABC, doctor Daniel Octavio Valdez Delgadillo</w:t>
      </w:r>
      <w:r>
        <w:rPr>
          <w:rFonts w:ascii="Arial" w:hAnsi="Arial" w:cs="Arial"/>
          <w:color w:val="222222"/>
          <w:sz w:val="24"/>
        </w:rPr>
        <w:t xml:space="preserve">, </w:t>
      </w:r>
      <w:r w:rsidRPr="003C4E4A">
        <w:rPr>
          <w:rFonts w:ascii="Arial" w:hAnsi="Arial" w:cs="Arial"/>
          <w:color w:val="222222"/>
          <w:sz w:val="24"/>
        </w:rPr>
        <w:t>tuvo a su cargo la apertura de la sesión en la que agradeció la participación de los representantes de la comunidad universitaria, que con su análisis y evaluación de la ejecución de las acciones contempladas en el PDI, contribuyen para que la máxima casa de estudios no solo cumpla con sus metas</w:t>
      </w:r>
      <w:r>
        <w:rPr>
          <w:rFonts w:ascii="Arial" w:hAnsi="Arial" w:cs="Arial"/>
          <w:color w:val="222222"/>
          <w:sz w:val="24"/>
        </w:rPr>
        <w:t>,</w:t>
      </w:r>
      <w:r w:rsidRPr="003C4E4A">
        <w:rPr>
          <w:rFonts w:ascii="Arial" w:hAnsi="Arial" w:cs="Arial"/>
          <w:color w:val="222222"/>
          <w:sz w:val="24"/>
        </w:rPr>
        <w:t xml:space="preserve"> sino que rebase las expectativas para impactar significativamente en sus funciones sustantivas y responsabilidad social.</w:t>
      </w:r>
    </w:p>
    <w:p w14:paraId="413A3F67" w14:textId="77777777" w:rsidR="003C4E4A" w:rsidRPr="003C4E4A" w:rsidRDefault="003C4E4A" w:rsidP="003C4E4A">
      <w:pPr>
        <w:shd w:val="clear" w:color="auto" w:fill="FFFFFF"/>
        <w:autoSpaceDN/>
        <w:jc w:val="both"/>
        <w:textAlignment w:val="auto"/>
        <w:rPr>
          <w:rFonts w:ascii="Arial" w:hAnsi="Arial" w:cs="Arial"/>
          <w:color w:val="222222"/>
        </w:rPr>
      </w:pPr>
    </w:p>
    <w:p w14:paraId="40CE2A29" w14:textId="18ED6CEB" w:rsidR="003C4E4A" w:rsidRDefault="003C4E4A" w:rsidP="003C4E4A">
      <w:pPr>
        <w:shd w:val="clear" w:color="auto" w:fill="FFFFFF"/>
        <w:autoSpaceDN/>
        <w:jc w:val="both"/>
        <w:textAlignment w:val="auto"/>
        <w:rPr>
          <w:rFonts w:ascii="Arial" w:hAnsi="Arial" w:cs="Arial"/>
          <w:color w:val="000000"/>
          <w:sz w:val="24"/>
          <w:szCs w:val="24"/>
        </w:rPr>
      </w:pPr>
      <w:r w:rsidRPr="003C4E4A">
        <w:rPr>
          <w:rFonts w:ascii="Arial" w:hAnsi="Arial" w:cs="Arial"/>
          <w:color w:val="000000"/>
          <w:sz w:val="24"/>
          <w:szCs w:val="24"/>
        </w:rPr>
        <w:t>La dinámica de la sesión consideró el desarrollo de 30 mesas de trabajo en la que participaron 160 integrantes de la comunidad universitaria, quienes analizaron, discutieron y valoraron el nivel de avance y cumplimiento de las 12 políticas, 30 estrategias y 127 acciones institucionales comprometidas en el PDI 2019-2023.</w:t>
      </w:r>
    </w:p>
    <w:p w14:paraId="67783275" w14:textId="77777777" w:rsidR="003C4E4A" w:rsidRPr="003C4E4A" w:rsidRDefault="003C4E4A" w:rsidP="003C4E4A">
      <w:pPr>
        <w:shd w:val="clear" w:color="auto" w:fill="FFFFFF"/>
        <w:autoSpaceDN/>
        <w:jc w:val="both"/>
        <w:textAlignment w:val="auto"/>
        <w:rPr>
          <w:rFonts w:ascii="Arial" w:hAnsi="Arial" w:cs="Arial"/>
          <w:color w:val="222222"/>
        </w:rPr>
      </w:pPr>
    </w:p>
    <w:p w14:paraId="40344C6C" w14:textId="0934B076" w:rsidR="003C4E4A" w:rsidRDefault="003C4E4A" w:rsidP="003C4E4A">
      <w:pPr>
        <w:shd w:val="clear" w:color="auto" w:fill="FFFFFF"/>
        <w:autoSpaceDN/>
        <w:jc w:val="both"/>
        <w:textAlignment w:val="auto"/>
        <w:rPr>
          <w:rFonts w:ascii="Arial" w:hAnsi="Arial" w:cs="Arial"/>
          <w:color w:val="000000"/>
          <w:sz w:val="24"/>
          <w:szCs w:val="24"/>
        </w:rPr>
      </w:pPr>
      <w:r w:rsidRPr="003C4E4A">
        <w:rPr>
          <w:rFonts w:ascii="Arial" w:hAnsi="Arial" w:cs="Arial"/>
          <w:color w:val="000000"/>
          <w:sz w:val="24"/>
          <w:szCs w:val="24"/>
        </w:rPr>
        <w:t>Entre los principales resultados preliminares que arrojó este ejercicio se observa un avance considerable en el cumplimiento de las acciones institucionales comprometidas en el Plan de Desarrollo Institucional, siendo las políticas institucionales de internacionalización, organización y gestión administrativa, infraestructura y equipamiento, calidad y pertinencia de la oferta educativa, gobernanza universitaria, transparencia y rendición de cuentas, las que registran un mayor nivel de consolidación de acuerdo con las valoraciones emitidas por los integrantes de los GTPS al interior de las mesas de trabajo.</w:t>
      </w:r>
    </w:p>
    <w:p w14:paraId="45625F4E" w14:textId="77777777" w:rsidR="003C4E4A" w:rsidRPr="003C4E4A" w:rsidRDefault="003C4E4A" w:rsidP="003C4E4A">
      <w:pPr>
        <w:shd w:val="clear" w:color="auto" w:fill="FFFFFF"/>
        <w:autoSpaceDN/>
        <w:jc w:val="both"/>
        <w:textAlignment w:val="auto"/>
        <w:rPr>
          <w:rFonts w:ascii="Arial" w:hAnsi="Arial" w:cs="Arial"/>
          <w:color w:val="222222"/>
        </w:rPr>
      </w:pPr>
    </w:p>
    <w:p w14:paraId="3164A9CC" w14:textId="69EF1544" w:rsidR="003C4E4A" w:rsidRDefault="003C4E4A" w:rsidP="003C4E4A">
      <w:pPr>
        <w:shd w:val="clear" w:color="auto" w:fill="FFFFFF"/>
        <w:autoSpaceDN/>
        <w:jc w:val="both"/>
        <w:textAlignment w:val="auto"/>
        <w:rPr>
          <w:rFonts w:ascii="Arial" w:hAnsi="Arial" w:cs="Arial"/>
          <w:color w:val="000000"/>
          <w:sz w:val="24"/>
          <w:szCs w:val="24"/>
        </w:rPr>
      </w:pPr>
      <w:r w:rsidRPr="003C4E4A">
        <w:rPr>
          <w:rFonts w:ascii="Arial" w:hAnsi="Arial" w:cs="Arial"/>
          <w:color w:val="000000"/>
          <w:sz w:val="24"/>
          <w:szCs w:val="24"/>
        </w:rPr>
        <w:t>Este ejercicio también permitió contrastar el avance registrado al día de hoy con respecto al observado un nivel de cumplimiento satisfactorio del orden del 11%, siendo las políticas de internacionalización, extensión y vinculación, así como investigación, desarrollo tecnológico e innovación, las que registraron un mayor nivel de avance en este periodo.</w:t>
      </w:r>
    </w:p>
    <w:p w14:paraId="140FBB0E" w14:textId="77777777" w:rsidR="003C4E4A" w:rsidRPr="003C4E4A" w:rsidRDefault="003C4E4A" w:rsidP="003C4E4A">
      <w:pPr>
        <w:shd w:val="clear" w:color="auto" w:fill="FFFFFF"/>
        <w:autoSpaceDN/>
        <w:jc w:val="both"/>
        <w:textAlignment w:val="auto"/>
        <w:rPr>
          <w:rFonts w:ascii="Arial" w:hAnsi="Arial" w:cs="Arial"/>
          <w:color w:val="222222"/>
        </w:rPr>
      </w:pPr>
    </w:p>
    <w:p w14:paraId="173A3EE8" w14:textId="77777777" w:rsidR="003C4E4A" w:rsidRPr="003C4E4A" w:rsidRDefault="003C4E4A" w:rsidP="003C4E4A">
      <w:pPr>
        <w:shd w:val="clear" w:color="auto" w:fill="FFFFFF"/>
        <w:autoSpaceDN/>
        <w:jc w:val="both"/>
        <w:textAlignment w:val="auto"/>
        <w:rPr>
          <w:rFonts w:ascii="Arial" w:hAnsi="Arial" w:cs="Arial"/>
          <w:color w:val="222222"/>
        </w:rPr>
      </w:pPr>
      <w:r w:rsidRPr="003C4E4A">
        <w:rPr>
          <w:rFonts w:ascii="Arial" w:hAnsi="Arial" w:cs="Arial"/>
          <w:color w:val="000000"/>
          <w:sz w:val="24"/>
          <w:szCs w:val="24"/>
        </w:rPr>
        <w:t>Los resultados del informe de seguimiento de los Grupos Técnicos de Planeación y Seguimiento se publicarán a durante el mes de junio y se difundirán por los medios institucionales existentes. </w:t>
      </w:r>
    </w:p>
    <w:bookmarkEnd w:id="0"/>
    <w:p w14:paraId="61502A7F" w14:textId="5B7B2912" w:rsidR="00A35DE1" w:rsidRPr="003C4E4A" w:rsidRDefault="00A35DE1" w:rsidP="00245565">
      <w:pPr>
        <w:jc w:val="right"/>
        <w:rPr>
          <w:rFonts w:ascii="Arial" w:hAnsi="Arial" w:cs="Arial"/>
          <w:b/>
          <w:sz w:val="16"/>
          <w:szCs w:val="16"/>
        </w:rPr>
      </w:pPr>
    </w:p>
    <w:p w14:paraId="01FF59ED" w14:textId="77777777" w:rsidR="00CE290B" w:rsidRPr="003C4E4A" w:rsidRDefault="00CE290B" w:rsidP="00CE290B">
      <w:pPr>
        <w:jc w:val="right"/>
        <w:rPr>
          <w:color w:val="FF0000"/>
        </w:rPr>
      </w:pPr>
    </w:p>
    <w:p w14:paraId="3C298D06" w14:textId="77777777" w:rsidR="00CE290B" w:rsidRPr="003C4E4A" w:rsidRDefault="00CE290B" w:rsidP="00CE290B">
      <w:pPr>
        <w:jc w:val="right"/>
        <w:rPr>
          <w:color w:val="FF0000"/>
        </w:rPr>
      </w:pPr>
    </w:p>
    <w:p w14:paraId="2113F44E" w14:textId="77777777" w:rsidR="00CE290B" w:rsidRPr="003C4E4A" w:rsidRDefault="00CE290B" w:rsidP="00CE290B">
      <w:pPr>
        <w:jc w:val="right"/>
        <w:rPr>
          <w:color w:val="FF0000"/>
        </w:rPr>
      </w:pPr>
    </w:p>
    <w:p w14:paraId="159005A4" w14:textId="77777777" w:rsidR="00CE290B" w:rsidRPr="003C4E4A" w:rsidRDefault="00CE290B" w:rsidP="00CE290B">
      <w:pPr>
        <w:jc w:val="right"/>
        <w:rPr>
          <w:color w:val="FF0000"/>
        </w:rPr>
      </w:pPr>
    </w:p>
    <w:p w14:paraId="51352BFC" w14:textId="77777777" w:rsidR="00CE290B" w:rsidRPr="003C4E4A" w:rsidRDefault="00CE290B" w:rsidP="00CE290B">
      <w:pPr>
        <w:shd w:val="clear" w:color="auto" w:fill="FFFFFF"/>
        <w:jc w:val="right"/>
        <w:rPr>
          <w:rFonts w:ascii="Arial" w:hAnsi="Arial" w:cs="Arial"/>
          <w:color w:val="FFFFFF" w:themeColor="background1"/>
          <w:szCs w:val="24"/>
        </w:rPr>
      </w:pPr>
    </w:p>
    <w:p w14:paraId="18E2CCC9" w14:textId="111EE0D9" w:rsidR="00CE290B" w:rsidRPr="003C4E4A" w:rsidRDefault="00CE290B" w:rsidP="003C4E4A">
      <w:pPr>
        <w:shd w:val="clear" w:color="auto" w:fill="FFFFFF"/>
        <w:jc w:val="right"/>
        <w:rPr>
          <w:rFonts w:ascii="Arial" w:hAnsi="Arial" w:cs="Arial"/>
          <w:color w:val="FFFFFF" w:themeColor="background1"/>
          <w:sz w:val="18"/>
          <w:szCs w:val="24"/>
        </w:rPr>
      </w:pPr>
      <w:r w:rsidRPr="003C4E4A">
        <w:rPr>
          <w:rFonts w:ascii="Arial" w:hAnsi="Arial" w:cs="Arial"/>
          <w:color w:val="FFFFFF" w:themeColor="background1"/>
          <w:sz w:val="18"/>
          <w:szCs w:val="24"/>
        </w:rPr>
        <w:t xml:space="preserve">Redacción: </w:t>
      </w:r>
      <w:r w:rsidR="003C4E4A" w:rsidRPr="003C4E4A">
        <w:rPr>
          <w:rFonts w:ascii="Arial" w:hAnsi="Arial" w:cs="Arial"/>
          <w:color w:val="FFFFFF" w:themeColor="background1"/>
          <w:sz w:val="18"/>
          <w:szCs w:val="24"/>
        </w:rPr>
        <w:t>Gaceta UABC</w:t>
      </w:r>
    </w:p>
    <w:p w14:paraId="3531D4A3" w14:textId="63448F24" w:rsidR="008343D3" w:rsidRPr="003C4E4A" w:rsidRDefault="008343D3" w:rsidP="00CE290B">
      <w:pPr>
        <w:pStyle w:val="NormalWeb"/>
        <w:spacing w:before="0" w:after="0"/>
        <w:jc w:val="center"/>
        <w:rPr>
          <w:rFonts w:ascii="Arial" w:hAnsi="Arial" w:cs="Arial"/>
          <w:color w:val="FF0000"/>
          <w:sz w:val="18"/>
          <w:lang w:val="es-MX"/>
        </w:rPr>
      </w:pPr>
    </w:p>
    <w:sectPr w:rsidR="008343D3" w:rsidRPr="003C4E4A"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76A6F" w14:textId="77777777" w:rsidR="00022F45" w:rsidRDefault="00022F45">
      <w:r>
        <w:separator/>
      </w:r>
    </w:p>
  </w:endnote>
  <w:endnote w:type="continuationSeparator" w:id="0">
    <w:p w14:paraId="1C078C43" w14:textId="77777777" w:rsidR="00022F45" w:rsidRDefault="0002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33086" w14:textId="77777777" w:rsidR="00022F45" w:rsidRDefault="00022F45">
      <w:r>
        <w:rPr>
          <w:color w:val="000000"/>
        </w:rPr>
        <w:separator/>
      </w:r>
    </w:p>
  </w:footnote>
  <w:footnote w:type="continuationSeparator" w:id="0">
    <w:p w14:paraId="7A8EF15E" w14:textId="77777777" w:rsidR="00022F45" w:rsidRDefault="00022F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1"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14"/>
  </w:num>
  <w:num w:numId="4">
    <w:abstractNumId w:val="6"/>
  </w:num>
  <w:num w:numId="5">
    <w:abstractNumId w:val="13"/>
  </w:num>
  <w:num w:numId="6">
    <w:abstractNumId w:val="5"/>
  </w:num>
  <w:num w:numId="7">
    <w:abstractNumId w:val="1"/>
  </w:num>
  <w:num w:numId="8">
    <w:abstractNumId w:val="3"/>
  </w:num>
  <w:num w:numId="9">
    <w:abstractNumId w:val="2"/>
  </w:num>
  <w:num w:numId="10">
    <w:abstractNumId w:val="20"/>
  </w:num>
  <w:num w:numId="11">
    <w:abstractNumId w:val="7"/>
  </w:num>
  <w:num w:numId="12">
    <w:abstractNumId w:val="4"/>
  </w:num>
  <w:num w:numId="13">
    <w:abstractNumId w:val="8"/>
  </w:num>
  <w:num w:numId="14">
    <w:abstractNumId w:val="17"/>
  </w:num>
  <w:num w:numId="15">
    <w:abstractNumId w:val="10"/>
  </w:num>
  <w:num w:numId="16">
    <w:abstractNumId w:val="22"/>
  </w:num>
  <w:num w:numId="17">
    <w:abstractNumId w:val="9"/>
  </w:num>
  <w:num w:numId="18">
    <w:abstractNumId w:val="15"/>
  </w:num>
  <w:num w:numId="19">
    <w:abstractNumId w:val="0"/>
  </w:num>
  <w:num w:numId="20">
    <w:abstractNumId w:val="12"/>
  </w:num>
  <w:num w:numId="21">
    <w:abstractNumId w:val="16"/>
  </w:num>
  <w:num w:numId="22">
    <w:abstractNumId w:val="19"/>
  </w:num>
  <w:num w:numId="23">
    <w:abstractNumId w:val="16"/>
  </w:num>
  <w:num w:numId="2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07D46-C67A-411C-973C-472C82F6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435</Words>
  <Characters>2397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4</cp:revision>
  <cp:lastPrinted>2020-02-29T01:01:00Z</cp:lastPrinted>
  <dcterms:created xsi:type="dcterms:W3CDTF">2021-05-08T01:00:00Z</dcterms:created>
  <dcterms:modified xsi:type="dcterms:W3CDTF">2021-05-10T19:54:00Z</dcterms:modified>
</cp:coreProperties>
</file>