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3B884518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1012F0">
        <w:rPr>
          <w:rFonts w:ascii="Arial" w:hAnsi="Arial" w:cs="Arial"/>
          <w:b/>
          <w:sz w:val="24"/>
          <w:szCs w:val="24"/>
        </w:rPr>
        <w:t>4</w:t>
      </w:r>
      <w:r w:rsidR="004F00A4">
        <w:rPr>
          <w:rFonts w:ascii="Arial" w:hAnsi="Arial" w:cs="Arial"/>
          <w:b/>
          <w:sz w:val="24"/>
          <w:szCs w:val="24"/>
        </w:rPr>
        <w:t>8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3C4E4A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29D320D8" w14:textId="1EF3F26C" w:rsidR="004F00A4" w:rsidRDefault="004F00A4" w:rsidP="004F00A4">
      <w:pPr>
        <w:jc w:val="center"/>
        <w:rPr>
          <w:rFonts w:ascii="Arial" w:hAnsi="Arial" w:cs="Arial"/>
          <w:b/>
          <w:sz w:val="36"/>
          <w:szCs w:val="32"/>
          <w:lang w:val="es-ES"/>
        </w:rPr>
      </w:pPr>
      <w:r w:rsidRPr="004F00A4">
        <w:rPr>
          <w:rFonts w:ascii="Arial" w:hAnsi="Arial" w:cs="Arial"/>
          <w:b/>
          <w:sz w:val="36"/>
          <w:szCs w:val="32"/>
          <w:lang w:val="es-ES"/>
        </w:rPr>
        <w:t>Firma UABC convenio con universidad de Kosovo</w:t>
      </w:r>
    </w:p>
    <w:p w14:paraId="0FA7CA2A" w14:textId="77777777" w:rsidR="004F00A4" w:rsidRPr="004F00A4" w:rsidRDefault="004F00A4" w:rsidP="004F00A4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7C95EEB8" w14:textId="77777777" w:rsidR="004F00A4" w:rsidRPr="004F00A4" w:rsidRDefault="004F00A4" w:rsidP="004F00A4">
      <w:pPr>
        <w:pStyle w:val="Prrafodelista"/>
        <w:numPr>
          <w:ilvl w:val="0"/>
          <w:numId w:val="27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sz w:val="24"/>
          <w:szCs w:val="32"/>
          <w:lang w:val="es-ES"/>
        </w:rPr>
        <w:t>Promoverán el</w:t>
      </w: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intercambio estudiantil, la movilidad académica e investigación en conjunto. </w:t>
      </w:r>
    </w:p>
    <w:p w14:paraId="5353E8E6" w14:textId="77777777" w:rsidR="00AE5DFC" w:rsidRPr="000C3B09" w:rsidRDefault="00AE5DFC" w:rsidP="00AE5DFC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0C3B09">
        <w:rPr>
          <w:rFonts w:ascii="Arial" w:hAnsi="Arial" w:cs="Arial"/>
          <w:b/>
          <w:bCs/>
          <w:color w:val="222222"/>
          <w:sz w:val="16"/>
          <w:szCs w:val="16"/>
          <w:lang w:val="es-MX"/>
        </w:rPr>
        <w:t> </w:t>
      </w:r>
    </w:p>
    <w:p w14:paraId="28CE33E3" w14:textId="77777777" w:rsidR="004F00A4" w:rsidRPr="004F00A4" w:rsidRDefault="00AE5DFC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0C3B09">
        <w:rPr>
          <w:rFonts w:ascii="Arial" w:hAnsi="Arial" w:cs="Arial"/>
          <w:b/>
          <w:bCs/>
          <w:color w:val="222222"/>
          <w:sz w:val="24"/>
          <w:szCs w:val="24"/>
        </w:rPr>
        <w:t>Mexicali, B</w:t>
      </w:r>
      <w:r w:rsidR="00F858BE" w:rsidRPr="000C3B09">
        <w:rPr>
          <w:rFonts w:ascii="Arial" w:hAnsi="Arial" w:cs="Arial"/>
          <w:b/>
          <w:bCs/>
          <w:color w:val="222222"/>
          <w:sz w:val="24"/>
          <w:szCs w:val="24"/>
        </w:rPr>
        <w:t xml:space="preserve">aja California, </w:t>
      </w:r>
      <w:r w:rsidR="004F00A4">
        <w:rPr>
          <w:rFonts w:ascii="Arial" w:hAnsi="Arial" w:cs="Arial"/>
          <w:b/>
          <w:bCs/>
          <w:color w:val="222222"/>
          <w:sz w:val="24"/>
          <w:szCs w:val="24"/>
        </w:rPr>
        <w:t>viernes 14</w:t>
      </w:r>
      <w:r w:rsidR="00F858BE" w:rsidRPr="000C3B09">
        <w:rPr>
          <w:rFonts w:ascii="Arial" w:hAnsi="Arial" w:cs="Arial"/>
          <w:b/>
          <w:bCs/>
          <w:color w:val="222222"/>
          <w:sz w:val="24"/>
          <w:szCs w:val="24"/>
        </w:rPr>
        <w:t xml:space="preserve"> de mayo de 2021.- </w:t>
      </w:r>
      <w:r w:rsidR="004F00A4"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Recientemente se consolidó la firma del convenio de colaboración entre la Universidad Autónoma de Baja California y el </w:t>
      </w:r>
      <w:r w:rsidR="004F00A4" w:rsidRPr="004F00A4">
        <w:rPr>
          <w:rFonts w:ascii="Arial" w:hAnsi="Arial" w:cs="Arial"/>
          <w:i/>
          <w:color w:val="000000" w:themeColor="text1"/>
          <w:sz w:val="24"/>
          <w:szCs w:val="32"/>
          <w:shd w:val="clear" w:color="auto" w:fill="FFFFFF"/>
        </w:rPr>
        <w:t>College of Applied Technical Sciences “Tempulli”</w:t>
      </w:r>
      <w:r w:rsidR="004F00A4" w:rsidRPr="004F00A4">
        <w:rPr>
          <w:rFonts w:ascii="Arial" w:hAnsi="Arial" w:cs="Arial"/>
          <w:i/>
          <w:color w:val="000000" w:themeColor="text1"/>
          <w:sz w:val="24"/>
          <w:szCs w:val="32"/>
          <w:lang w:val="es-ES"/>
        </w:rPr>
        <w:t xml:space="preserve"> </w:t>
      </w:r>
      <w:r w:rsidR="004F00A4"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>(Pristina, Kosovo). La relación para entablar la colaboración inició desde noviembre de 2020, donde quedó plasmada la intención de fortalecer la política de internacionalización de ambas instituciones.</w:t>
      </w:r>
    </w:p>
    <w:p w14:paraId="09A942EA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</w:p>
    <w:p w14:paraId="3D78CE5E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Tanto la UABC como el Tempulli, tienen la intención de promover el intercambio estudiantil, ya sea por estancias semestrales, cortas o virtuales, así como la movilidad académica e investigación en conjunto durante un periodo de cinco años. </w:t>
      </w:r>
    </w:p>
    <w:p w14:paraId="5E91D14D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</w:p>
    <w:p w14:paraId="1B17590E" w14:textId="2A490305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>Este convenio fue firmado por el rector de la UABC doctor Daniel Octavio Valdez Delgadillo y por el decano de relaciones internacionales del Tempulli</w:t>
      </w:r>
      <w:r w:rsidRPr="004F00A4">
        <w:rPr>
          <w:rFonts w:ascii="Arial" w:hAnsi="Arial" w:cs="Arial"/>
          <w:color w:val="000000" w:themeColor="text1"/>
          <w:sz w:val="24"/>
          <w:szCs w:val="32"/>
          <w:shd w:val="clear" w:color="auto" w:fill="FFFFFF"/>
        </w:rPr>
        <w:t>, doctor</w:t>
      </w: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Muhamed Krasniqi. Ambas instituciones acordaron las acciones</w:t>
      </w:r>
      <w:r w:rsidR="002C5C82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a implementa</w:t>
      </w:r>
      <w:r w:rsidR="00C25BB0">
        <w:rPr>
          <w:rFonts w:ascii="Arial" w:hAnsi="Arial" w:cs="Arial"/>
          <w:color w:val="000000" w:themeColor="text1"/>
          <w:sz w:val="24"/>
          <w:szCs w:val="32"/>
          <w:lang w:val="es-ES"/>
        </w:rPr>
        <w:t>r</w:t>
      </w: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</w:t>
      </w:r>
      <w:r w:rsidR="002C5C82">
        <w:rPr>
          <w:rFonts w:ascii="Arial" w:hAnsi="Arial" w:cs="Arial"/>
          <w:color w:val="000000" w:themeColor="text1"/>
          <w:sz w:val="24"/>
          <w:szCs w:val="32"/>
          <w:lang w:val="es-ES"/>
        </w:rPr>
        <w:t>en</w:t>
      </w: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las áreas de </w:t>
      </w:r>
      <w:bookmarkStart w:id="0" w:name="_GoBack"/>
      <w:bookmarkEnd w:id="0"/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ciencias de la ingeniería. </w:t>
      </w:r>
    </w:p>
    <w:p w14:paraId="69C03F02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</w:p>
    <w:p w14:paraId="0F3E102A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Como primera iniciativa se organizará un evento internacional virtual (en inglés) entre las áreas de la ingeniería civil, abarcando ciencia, tecnología, logística, transporte e infraestructura, el cual será coordinado por el doctor David Guadalupe Toledo Sarracino, titular de la Coordinación General de Vinculación y Cooperación Académica; doctora Araceli Celina Justo López, directora de la Facultad de Ingeniería Mexicali y el doctor Mario Alberto Curiel Álvarez, director del Instituto de Ingeniería Mexicali. </w:t>
      </w:r>
    </w:p>
    <w:p w14:paraId="5AFEC5F7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</w:p>
    <w:p w14:paraId="7AFD8319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>Este webinario será transmitido en las plataformas digitales donde estudiantes de licenciatura y posgrado podrán aprender sobre las buenas prácticas de las ingenierías realizadas en ambos países.</w:t>
      </w:r>
    </w:p>
    <w:p w14:paraId="6A9B4546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  <w:lang w:val="es-ES"/>
        </w:rPr>
      </w:pPr>
      <w:r w:rsidRPr="004F00A4">
        <w:rPr>
          <w:rFonts w:ascii="Arial" w:hAnsi="Arial" w:cs="Arial"/>
          <w:color w:val="000000" w:themeColor="text1"/>
          <w:sz w:val="24"/>
          <w:szCs w:val="32"/>
          <w:lang w:val="es-ES"/>
        </w:rPr>
        <w:t xml:space="preserve"> </w:t>
      </w:r>
    </w:p>
    <w:p w14:paraId="61BD7D8C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</w:rPr>
      </w:pPr>
      <w:r w:rsidRPr="004F00A4">
        <w:rPr>
          <w:rFonts w:ascii="Arial" w:hAnsi="Arial" w:cs="Arial"/>
          <w:color w:val="000000" w:themeColor="text1"/>
          <w:sz w:val="24"/>
          <w:szCs w:val="32"/>
        </w:rPr>
        <w:t>UABC y Tempulli acordaron trabajar en programas de colaboración para desarrollo profesional y certificación de programas para ser reconocidos en el ámbito internacional, y así fortalecer las unidades académicas donde se enseñan las ingenierías.</w:t>
      </w:r>
    </w:p>
    <w:p w14:paraId="3D864C03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</w:rPr>
      </w:pPr>
    </w:p>
    <w:p w14:paraId="641ED4FF" w14:textId="3DE6FF6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</w:rPr>
      </w:pPr>
      <w:r w:rsidRPr="004F00A4">
        <w:rPr>
          <w:rFonts w:ascii="Arial" w:hAnsi="Arial" w:cs="Arial"/>
          <w:color w:val="000000" w:themeColor="text1"/>
          <w:sz w:val="24"/>
          <w:szCs w:val="32"/>
        </w:rPr>
        <w:t>Tempulli tiene la más larga tradición en la educación privada en Kosovo y se ha comprometido a proporcionar formación y educación desde 1992. Hace más de diez años que el Centro de Desarrollo Profesional (CPD) opera dentro de Tempulli, donde se desarrollan los programas de formación, formación profesional y programas de certificación que son evaluados por expertos nacionales e internacionales, así como autorizados. por las instituciones gubernamentales pertinentes.</w:t>
      </w:r>
    </w:p>
    <w:p w14:paraId="582F7E67" w14:textId="1CA2AEC2" w:rsid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</w:rPr>
      </w:pPr>
    </w:p>
    <w:p w14:paraId="28170791" w14:textId="168A1D45" w:rsidR="004F00A4" w:rsidRDefault="004F00A4" w:rsidP="004F00A4">
      <w:pPr>
        <w:jc w:val="both"/>
        <w:rPr>
          <w:rFonts w:ascii="Arial" w:hAnsi="Arial" w:cs="Arial"/>
          <w:color w:val="000000" w:themeColor="text1"/>
          <w:sz w:val="24"/>
          <w:szCs w:val="32"/>
        </w:rPr>
      </w:pPr>
    </w:p>
    <w:p w14:paraId="4B91A081" w14:textId="77777777" w:rsidR="004F00A4" w:rsidRPr="004F00A4" w:rsidRDefault="004F00A4" w:rsidP="004F00A4">
      <w:pPr>
        <w:jc w:val="both"/>
        <w:rPr>
          <w:rFonts w:ascii="Arial" w:hAnsi="Arial" w:cs="Arial"/>
          <w:color w:val="000000" w:themeColor="text1"/>
          <w:sz w:val="20"/>
          <w:szCs w:val="32"/>
        </w:rPr>
      </w:pPr>
    </w:p>
    <w:p w14:paraId="763B4BE1" w14:textId="77777777" w:rsidR="004F00A4" w:rsidRPr="004F00A4" w:rsidRDefault="004F00A4" w:rsidP="004F00A4">
      <w:pPr>
        <w:jc w:val="right"/>
        <w:rPr>
          <w:rFonts w:ascii="Arial" w:hAnsi="Arial" w:cs="Arial"/>
          <w:color w:val="000000" w:themeColor="text1"/>
          <w:sz w:val="20"/>
          <w:szCs w:val="32"/>
        </w:rPr>
      </w:pPr>
    </w:p>
    <w:p w14:paraId="5A23DEF6" w14:textId="656CE864" w:rsidR="00503456" w:rsidRDefault="004F00A4" w:rsidP="004F00A4">
      <w:pPr>
        <w:jc w:val="right"/>
        <w:rPr>
          <w:rFonts w:ascii="Arial" w:hAnsi="Arial" w:cs="Arial"/>
          <w:color w:val="FF0000"/>
          <w:sz w:val="24"/>
          <w:szCs w:val="24"/>
        </w:rPr>
      </w:pPr>
      <w:r w:rsidRPr="004F00A4">
        <w:rPr>
          <w:rFonts w:ascii="Arial" w:hAnsi="Arial" w:cs="Arial"/>
          <w:color w:val="FFFFFF" w:themeColor="background1"/>
          <w:sz w:val="24"/>
          <w:szCs w:val="32"/>
        </w:rPr>
        <w:t>Redacción: Gaceta UABC</w:t>
      </w:r>
    </w:p>
    <w:p w14:paraId="43E42351" w14:textId="222BBE28" w:rsidR="00503456" w:rsidRDefault="00503456" w:rsidP="004F00A4">
      <w:pPr>
        <w:jc w:val="right"/>
        <w:rPr>
          <w:rFonts w:ascii="Arial" w:hAnsi="Arial" w:cs="Arial"/>
          <w:color w:val="FF0000"/>
          <w:sz w:val="24"/>
          <w:szCs w:val="24"/>
        </w:rPr>
      </w:pPr>
    </w:p>
    <w:sectPr w:rsidR="00503456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C927D" w14:textId="77777777" w:rsidR="005131ED" w:rsidRDefault="005131ED">
      <w:r>
        <w:separator/>
      </w:r>
    </w:p>
  </w:endnote>
  <w:endnote w:type="continuationSeparator" w:id="0">
    <w:p w14:paraId="3FF0D3C1" w14:textId="77777777" w:rsidR="005131ED" w:rsidRDefault="0051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69458" w14:textId="77777777" w:rsidR="005131ED" w:rsidRDefault="005131ED">
      <w:r>
        <w:rPr>
          <w:color w:val="000000"/>
        </w:rPr>
        <w:separator/>
      </w:r>
    </w:p>
  </w:footnote>
  <w:footnote w:type="continuationSeparator" w:id="0">
    <w:p w14:paraId="0362BC9F" w14:textId="77777777" w:rsidR="005131ED" w:rsidRDefault="0051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7"/>
  </w:num>
  <w:num w:numId="4">
    <w:abstractNumId w:val="8"/>
  </w:num>
  <w:num w:numId="5">
    <w:abstractNumId w:val="16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3"/>
  </w:num>
  <w:num w:numId="11">
    <w:abstractNumId w:val="9"/>
  </w:num>
  <w:num w:numId="12">
    <w:abstractNumId w:val="5"/>
  </w:num>
  <w:num w:numId="13">
    <w:abstractNumId w:val="10"/>
  </w:num>
  <w:num w:numId="14">
    <w:abstractNumId w:val="20"/>
  </w:num>
  <w:num w:numId="15">
    <w:abstractNumId w:val="12"/>
  </w:num>
  <w:num w:numId="16">
    <w:abstractNumId w:val="25"/>
  </w:num>
  <w:num w:numId="17">
    <w:abstractNumId w:val="11"/>
  </w:num>
  <w:num w:numId="18">
    <w:abstractNumId w:val="18"/>
  </w:num>
  <w:num w:numId="19">
    <w:abstractNumId w:val="0"/>
  </w:num>
  <w:num w:numId="20">
    <w:abstractNumId w:val="15"/>
  </w:num>
  <w:num w:numId="21">
    <w:abstractNumId w:val="19"/>
  </w:num>
  <w:num w:numId="22">
    <w:abstractNumId w:val="22"/>
  </w:num>
  <w:num w:numId="23">
    <w:abstractNumId w:val="19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77A92-89E2-4C28-A720-4233F9ED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5</cp:revision>
  <cp:lastPrinted>2020-02-29T01:01:00Z</cp:lastPrinted>
  <dcterms:created xsi:type="dcterms:W3CDTF">2021-05-14T22:13:00Z</dcterms:created>
  <dcterms:modified xsi:type="dcterms:W3CDTF">2021-05-14T22:22:00Z</dcterms:modified>
</cp:coreProperties>
</file>