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39894EE9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322E11">
        <w:rPr>
          <w:rFonts w:ascii="Arial" w:hAnsi="Arial" w:cs="Arial"/>
          <w:b/>
          <w:sz w:val="24"/>
          <w:szCs w:val="24"/>
        </w:rPr>
        <w:t>5</w:t>
      </w:r>
      <w:r w:rsidR="004D635C">
        <w:rPr>
          <w:rFonts w:ascii="Arial" w:hAnsi="Arial" w:cs="Arial"/>
          <w:b/>
          <w:sz w:val="24"/>
          <w:szCs w:val="24"/>
        </w:rPr>
        <w:t>4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0A2983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2"/>
          <w:szCs w:val="12"/>
        </w:rPr>
      </w:pPr>
    </w:p>
    <w:p w14:paraId="125F18C5" w14:textId="72F96B22" w:rsidR="00D75C1E" w:rsidRPr="00302169" w:rsidRDefault="00E80AE2" w:rsidP="00327723">
      <w:pPr>
        <w:shd w:val="clear" w:color="auto" w:fill="FFFFFF"/>
        <w:jc w:val="center"/>
        <w:rPr>
          <w:rFonts w:ascii="Arial" w:hAnsi="Arial" w:cs="Arial"/>
          <w:b/>
          <w:color w:val="222222"/>
          <w:spacing w:val="-4"/>
          <w:sz w:val="36"/>
          <w:szCs w:val="36"/>
        </w:rPr>
      </w:pPr>
      <w:r w:rsidRPr="00302169">
        <w:rPr>
          <w:rFonts w:ascii="Arial" w:hAnsi="Arial" w:cs="Arial"/>
          <w:b/>
          <w:spacing w:val="-4"/>
          <w:sz w:val="36"/>
          <w:szCs w:val="36"/>
        </w:rPr>
        <w:t>Fortalece</w:t>
      </w:r>
      <w:r w:rsidR="004063D2" w:rsidRPr="00302169">
        <w:rPr>
          <w:rFonts w:ascii="Arial" w:hAnsi="Arial" w:cs="Arial"/>
          <w:b/>
          <w:spacing w:val="-4"/>
          <w:sz w:val="36"/>
          <w:szCs w:val="36"/>
        </w:rPr>
        <w:t xml:space="preserve"> UABC </w:t>
      </w:r>
      <w:r w:rsidRPr="00302169">
        <w:rPr>
          <w:rFonts w:ascii="Arial" w:hAnsi="Arial" w:cs="Arial"/>
          <w:b/>
          <w:spacing w:val="-4"/>
          <w:sz w:val="36"/>
          <w:szCs w:val="36"/>
        </w:rPr>
        <w:t>la</w:t>
      </w:r>
      <w:r w:rsidRPr="00302169">
        <w:rPr>
          <w:rFonts w:ascii="Arial" w:hAnsi="Arial" w:cs="Arial"/>
          <w:b/>
          <w:color w:val="00B050"/>
          <w:spacing w:val="-4"/>
          <w:sz w:val="36"/>
          <w:szCs w:val="36"/>
        </w:rPr>
        <w:t xml:space="preserve"> </w:t>
      </w:r>
      <w:r w:rsidR="003A48CD" w:rsidRPr="00302169">
        <w:rPr>
          <w:rFonts w:ascii="Arial" w:hAnsi="Arial" w:cs="Arial"/>
          <w:b/>
          <w:color w:val="222222"/>
          <w:spacing w:val="-4"/>
          <w:sz w:val="36"/>
          <w:szCs w:val="36"/>
        </w:rPr>
        <w:t xml:space="preserve">oferta </w:t>
      </w:r>
      <w:r w:rsidR="00E30635" w:rsidRPr="00302169">
        <w:rPr>
          <w:rFonts w:ascii="Arial" w:hAnsi="Arial" w:cs="Arial"/>
          <w:b/>
          <w:color w:val="222222"/>
          <w:spacing w:val="-4"/>
          <w:sz w:val="36"/>
          <w:szCs w:val="36"/>
        </w:rPr>
        <w:t>educativa de licenciatura y posgrado</w:t>
      </w:r>
    </w:p>
    <w:p w14:paraId="73116B16" w14:textId="77777777" w:rsidR="00D75C1E" w:rsidRPr="00D75C1E" w:rsidRDefault="00D75C1E" w:rsidP="00327723">
      <w:pPr>
        <w:shd w:val="clear" w:color="auto" w:fill="FFFFFF"/>
        <w:jc w:val="center"/>
        <w:rPr>
          <w:rFonts w:ascii="Arial" w:hAnsi="Arial" w:cs="Arial"/>
          <w:b/>
          <w:color w:val="222222"/>
          <w:sz w:val="16"/>
          <w:szCs w:val="16"/>
        </w:rPr>
      </w:pPr>
    </w:p>
    <w:p w14:paraId="7D85D4F8" w14:textId="70E7F6B0" w:rsidR="00E30635" w:rsidRDefault="00E30635" w:rsidP="00322E11">
      <w:pPr>
        <w:pStyle w:val="Prrafodelista"/>
        <w:numPr>
          <w:ilvl w:val="0"/>
          <w:numId w:val="29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Se ofertará la Licenciatura en Gastronomía en Campus Tijuana</w:t>
      </w:r>
      <w:r w:rsidR="00302169">
        <w:rPr>
          <w:rFonts w:ascii="Arial" w:hAnsi="Arial" w:cs="Arial"/>
          <w:color w:val="222222"/>
          <w:sz w:val="24"/>
          <w:szCs w:val="24"/>
        </w:rPr>
        <w:t>, la Licenciatura en Ciencias de la Educación en Guadalupe Victoria, así como la nivelación a Licenciatura en Enfermería en Valle de las Palmas.</w:t>
      </w:r>
    </w:p>
    <w:p w14:paraId="0DEFA1BF" w14:textId="3C10E552" w:rsidR="00FE21CA" w:rsidRPr="00322E11" w:rsidRDefault="00FE21CA" w:rsidP="00322E11">
      <w:pPr>
        <w:pStyle w:val="Prrafodelista"/>
        <w:numPr>
          <w:ilvl w:val="0"/>
          <w:numId w:val="29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Se crean el programa educativo de Ingeniero en Agronegocios, la Maestría en Inteligencia Financiera y el Doctorado en Gobierno y Políticas Públicas.</w:t>
      </w:r>
    </w:p>
    <w:p w14:paraId="3374B5C6" w14:textId="77777777" w:rsidR="00322E11" w:rsidRPr="00322E11" w:rsidRDefault="00322E11" w:rsidP="00322E11">
      <w:pPr>
        <w:pStyle w:val="Prrafodelista"/>
        <w:shd w:val="clear" w:color="auto" w:fill="FFFFFF"/>
        <w:jc w:val="both"/>
        <w:rPr>
          <w:rFonts w:ascii="Arial" w:hAnsi="Arial" w:cs="Arial"/>
          <w:color w:val="222222"/>
          <w:sz w:val="18"/>
          <w:szCs w:val="30"/>
        </w:rPr>
      </w:pPr>
    </w:p>
    <w:p w14:paraId="33FABD0A" w14:textId="64F35FDF" w:rsidR="00AA61D1" w:rsidRDefault="004D635C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Mexicali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 xml:space="preserve">, Baja California, </w:t>
      </w:r>
      <w:r>
        <w:rPr>
          <w:rFonts w:ascii="Arial" w:hAnsi="Arial" w:cs="Arial"/>
          <w:b/>
          <w:sz w:val="24"/>
          <w:szCs w:val="24"/>
        </w:rPr>
        <w:t>jueves 20</w:t>
      </w:r>
      <w:r w:rsidR="00D75C1E" w:rsidRPr="005703CE">
        <w:rPr>
          <w:rFonts w:ascii="Arial" w:hAnsi="Arial" w:cs="Arial"/>
          <w:b/>
          <w:sz w:val="24"/>
          <w:szCs w:val="24"/>
        </w:rPr>
        <w:t xml:space="preserve"> de 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>mayo de 2021</w:t>
      </w:r>
      <w:r w:rsidR="00D75C1E" w:rsidRPr="00322E11">
        <w:rPr>
          <w:rFonts w:ascii="Arial" w:hAnsi="Arial" w:cs="Arial"/>
          <w:color w:val="222222"/>
          <w:sz w:val="24"/>
          <w:szCs w:val="24"/>
        </w:rPr>
        <w:t xml:space="preserve">.- </w:t>
      </w:r>
      <w:r w:rsidR="00AA61D1">
        <w:rPr>
          <w:rFonts w:ascii="Arial" w:hAnsi="Arial" w:cs="Arial"/>
          <w:color w:val="222222"/>
          <w:sz w:val="24"/>
          <w:szCs w:val="24"/>
        </w:rPr>
        <w:t>Se llevó a cabo sesión ordinaria del Consejo Universitario de la Universidad Autónoma de Baja California (UABC), máximo órgano colegiado representativo de la comunidad cimarrona. Los principales puntos a tratar versaron en relación a la oferta, modificación y creación de programas educativos en diversas unidades académicas de los tres campus universitarios.</w:t>
      </w:r>
    </w:p>
    <w:p w14:paraId="1A264509" w14:textId="49333CD7" w:rsidR="002B6E01" w:rsidRPr="00AA61D1" w:rsidRDefault="002B6E01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4DB1E463" w14:textId="471D483C" w:rsidR="002B6E01" w:rsidRDefault="00AA61D1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F</w:t>
      </w:r>
      <w:r w:rsidR="002B6E01">
        <w:rPr>
          <w:rFonts w:ascii="Arial" w:hAnsi="Arial" w:cs="Arial"/>
          <w:color w:val="222222"/>
          <w:sz w:val="24"/>
          <w:szCs w:val="24"/>
        </w:rPr>
        <w:t xml:space="preserve">ueron aprobadas </w:t>
      </w:r>
      <w:r w:rsidR="002B6E01" w:rsidRPr="002B6E01">
        <w:rPr>
          <w:rFonts w:ascii="Arial" w:hAnsi="Arial" w:cs="Arial"/>
          <w:sz w:val="24"/>
          <w:szCs w:val="24"/>
        </w:rPr>
        <w:t>las</w:t>
      </w:r>
      <w:r w:rsidR="002B6E01" w:rsidRPr="002B6E01">
        <w:rPr>
          <w:rFonts w:ascii="Arial" w:hAnsi="Arial" w:cs="Arial"/>
          <w:b/>
          <w:sz w:val="24"/>
          <w:szCs w:val="24"/>
        </w:rPr>
        <w:t xml:space="preserve"> </w:t>
      </w:r>
      <w:r w:rsidR="002B6E01" w:rsidRPr="002B6E01">
        <w:rPr>
          <w:rFonts w:ascii="Arial" w:hAnsi="Arial" w:cs="Arial"/>
          <w:sz w:val="24"/>
          <w:szCs w:val="24"/>
        </w:rPr>
        <w:t>propuestas</w:t>
      </w:r>
      <w:r w:rsidR="002B6E01">
        <w:rPr>
          <w:rFonts w:ascii="Arial" w:hAnsi="Arial" w:cs="Arial"/>
          <w:sz w:val="24"/>
          <w:szCs w:val="24"/>
        </w:rPr>
        <w:t xml:space="preserve"> para que la Facultad de Turismo y Mercadotecnia del Campus Tijuana oferte el programa educativo de Licenciado en Gastronomía, la Facultad de Ingeniería y Negocios Guadalupe Victoria oferte la Licenciatura en Ciencias de la Educación, y que la Facultad de Ciencias de la Salud, unidad Valle de las Palmas, oferte el programa de nivelación a Licenciatura e</w:t>
      </w:r>
      <w:r>
        <w:rPr>
          <w:rFonts w:ascii="Arial" w:hAnsi="Arial" w:cs="Arial"/>
          <w:sz w:val="24"/>
          <w:szCs w:val="24"/>
        </w:rPr>
        <w:t>n Enfermería en modalidad abierta.</w:t>
      </w:r>
    </w:p>
    <w:p w14:paraId="0DAA1434" w14:textId="50D5BEFE" w:rsidR="00AB7AE1" w:rsidRPr="002B6E01" w:rsidRDefault="00AB7AE1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330D07A4" w14:textId="0E058C97" w:rsidR="00AB7AE1" w:rsidRDefault="009D2E2A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Para lograr la actualización y pertinencia de los programas </w:t>
      </w:r>
      <w:r w:rsidR="002B6E01">
        <w:rPr>
          <w:rFonts w:ascii="Arial" w:hAnsi="Arial" w:cs="Arial"/>
          <w:color w:val="222222"/>
          <w:sz w:val="24"/>
          <w:szCs w:val="24"/>
        </w:rPr>
        <w:t xml:space="preserve">educativos que ofrece la UABC, </w:t>
      </w:r>
      <w:r w:rsidR="00666494">
        <w:rPr>
          <w:rFonts w:ascii="Arial" w:hAnsi="Arial" w:cs="Arial"/>
          <w:color w:val="222222"/>
          <w:sz w:val="24"/>
          <w:szCs w:val="24"/>
        </w:rPr>
        <w:t xml:space="preserve">los consejeros universitarios </w:t>
      </w:r>
      <w:r>
        <w:rPr>
          <w:rFonts w:ascii="Arial" w:hAnsi="Arial" w:cs="Arial"/>
          <w:color w:val="222222"/>
          <w:sz w:val="24"/>
          <w:szCs w:val="24"/>
        </w:rPr>
        <w:t>aprobaron la modificación de varios planes de estudio, estos son</w:t>
      </w:r>
      <w:r w:rsidR="000D0787">
        <w:rPr>
          <w:rFonts w:ascii="Arial" w:hAnsi="Arial" w:cs="Arial"/>
          <w:color w:val="222222"/>
          <w:sz w:val="24"/>
          <w:szCs w:val="24"/>
        </w:rPr>
        <w:t xml:space="preserve">: Licenciatura en Ciencias </w:t>
      </w:r>
      <w:r w:rsidR="002B6E01">
        <w:rPr>
          <w:rFonts w:ascii="Arial" w:hAnsi="Arial" w:cs="Arial"/>
          <w:color w:val="222222"/>
          <w:sz w:val="24"/>
          <w:szCs w:val="24"/>
        </w:rPr>
        <w:t xml:space="preserve">de la Comunicación; Arquitecto; Contaduría; </w:t>
      </w:r>
      <w:r w:rsidR="000D0787">
        <w:rPr>
          <w:rFonts w:ascii="Arial" w:hAnsi="Arial" w:cs="Arial"/>
          <w:color w:val="222222"/>
          <w:sz w:val="24"/>
          <w:szCs w:val="24"/>
        </w:rPr>
        <w:t xml:space="preserve">Licenciatura </w:t>
      </w:r>
      <w:r w:rsidR="002B6E01">
        <w:rPr>
          <w:rFonts w:ascii="Arial" w:hAnsi="Arial" w:cs="Arial"/>
          <w:color w:val="222222"/>
          <w:sz w:val="24"/>
          <w:szCs w:val="24"/>
        </w:rPr>
        <w:t xml:space="preserve">en Informática </w:t>
      </w:r>
      <w:r w:rsidR="000D0787">
        <w:rPr>
          <w:rFonts w:ascii="Arial" w:hAnsi="Arial" w:cs="Arial"/>
          <w:color w:val="222222"/>
          <w:sz w:val="24"/>
          <w:szCs w:val="24"/>
        </w:rPr>
        <w:t xml:space="preserve">–cambia </w:t>
      </w:r>
      <w:r w:rsidR="002B6E01">
        <w:rPr>
          <w:rFonts w:ascii="Arial" w:hAnsi="Arial" w:cs="Arial"/>
          <w:color w:val="222222"/>
          <w:sz w:val="24"/>
          <w:szCs w:val="24"/>
        </w:rPr>
        <w:t>a Licenciado en Inteligencia de Negocios</w:t>
      </w:r>
      <w:r w:rsidR="00A6095D">
        <w:rPr>
          <w:rFonts w:ascii="Arial" w:hAnsi="Arial" w:cs="Arial"/>
          <w:color w:val="222222"/>
          <w:sz w:val="24"/>
          <w:szCs w:val="24"/>
        </w:rPr>
        <w:t>-</w:t>
      </w:r>
      <w:r w:rsidR="002B6E01">
        <w:rPr>
          <w:rFonts w:ascii="Arial" w:hAnsi="Arial" w:cs="Arial"/>
          <w:color w:val="222222"/>
          <w:sz w:val="24"/>
          <w:szCs w:val="24"/>
        </w:rPr>
        <w:t xml:space="preserve">; </w:t>
      </w:r>
      <w:r w:rsidR="00A6095D">
        <w:rPr>
          <w:rFonts w:ascii="Arial" w:hAnsi="Arial" w:cs="Arial"/>
          <w:color w:val="222222"/>
          <w:sz w:val="24"/>
          <w:szCs w:val="24"/>
        </w:rPr>
        <w:t xml:space="preserve">Licenciatura </w:t>
      </w:r>
      <w:r w:rsidR="002B6E01">
        <w:rPr>
          <w:rFonts w:ascii="Arial" w:hAnsi="Arial" w:cs="Arial"/>
          <w:color w:val="222222"/>
          <w:sz w:val="24"/>
          <w:szCs w:val="24"/>
        </w:rPr>
        <w:t xml:space="preserve">en Actividad Física y Deporte, e incorporación de Técnico Superior Universitario en Actividades Recreativas y Turísticas.  </w:t>
      </w:r>
    </w:p>
    <w:p w14:paraId="287007C6" w14:textId="6CE6F305" w:rsidR="008C71D3" w:rsidRPr="00666494" w:rsidRDefault="008C71D3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19A45D92" w14:textId="05EF240C" w:rsidR="00AA61D1" w:rsidRDefault="00666494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Otro </w:t>
      </w:r>
      <w:r w:rsidR="002019AC">
        <w:rPr>
          <w:rFonts w:ascii="Arial" w:hAnsi="Arial" w:cs="Arial"/>
          <w:color w:val="222222"/>
          <w:sz w:val="24"/>
          <w:szCs w:val="24"/>
        </w:rPr>
        <w:t>de los puntos relevantes en la sesión, fue la aprobación por parte de los consejeros universitarios</w:t>
      </w:r>
      <w:r>
        <w:rPr>
          <w:rFonts w:ascii="Arial" w:hAnsi="Arial" w:cs="Arial"/>
          <w:color w:val="222222"/>
          <w:sz w:val="24"/>
          <w:szCs w:val="24"/>
        </w:rPr>
        <w:t xml:space="preserve"> de la propuesta de creación de los planes de estudio del programa educativo de </w:t>
      </w:r>
      <w:r w:rsidR="008034BB">
        <w:rPr>
          <w:rFonts w:ascii="Arial" w:hAnsi="Arial" w:cs="Arial"/>
          <w:color w:val="222222"/>
          <w:sz w:val="24"/>
          <w:szCs w:val="24"/>
        </w:rPr>
        <w:t xml:space="preserve">Maestría en Inteligencia Financiera, emitida por el Consejo Técnico de la Facultad de Contaduría y Administración; </w:t>
      </w:r>
      <w:r>
        <w:rPr>
          <w:rFonts w:ascii="Arial" w:hAnsi="Arial" w:cs="Arial"/>
          <w:color w:val="222222"/>
          <w:sz w:val="24"/>
          <w:szCs w:val="24"/>
        </w:rPr>
        <w:t>Doctorado en Gobierno y Políticas Públicas por parte del Consejo Técnico de la Facultad de Ciencias Sociales y Políticas, así como del programa educativo de Ingeniero en Agronegocios, que presentaron los consejos técnicos del Instituto de Ciencias Agrícolas y la Facultad de Ingeniería y Negocios San Quintín.</w:t>
      </w:r>
    </w:p>
    <w:p w14:paraId="3881284B" w14:textId="4DF3A3F4" w:rsidR="00E56BB4" w:rsidRPr="00E56BB4" w:rsidRDefault="00E56BB4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16E5B843" w14:textId="46DC66BA" w:rsidR="00E56BB4" w:rsidRDefault="002C31C4" w:rsidP="00024D1A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Modificación a la normatividad</w:t>
      </w:r>
    </w:p>
    <w:p w14:paraId="29C30C64" w14:textId="20B03713" w:rsidR="00D9755B" w:rsidRDefault="00D9755B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D9755B">
        <w:rPr>
          <w:rFonts w:ascii="Arial" w:hAnsi="Arial" w:cs="Arial"/>
          <w:color w:val="222222"/>
          <w:sz w:val="24"/>
          <w:szCs w:val="24"/>
        </w:rPr>
        <w:t xml:space="preserve">Durante </w:t>
      </w:r>
      <w:r>
        <w:rPr>
          <w:rFonts w:ascii="Arial" w:hAnsi="Arial" w:cs="Arial"/>
          <w:color w:val="222222"/>
          <w:sz w:val="24"/>
          <w:szCs w:val="24"/>
        </w:rPr>
        <w:t xml:space="preserve">la sesión se dictaminó el proyecto de Reforma al artículo 144 del Estatuto Escolar de la UABC, el cual </w:t>
      </w:r>
      <w:r w:rsidR="00BD32FB">
        <w:rPr>
          <w:rFonts w:ascii="Arial" w:hAnsi="Arial" w:cs="Arial"/>
          <w:color w:val="222222"/>
          <w:sz w:val="24"/>
          <w:szCs w:val="24"/>
        </w:rPr>
        <w:t xml:space="preserve">establece un número de créditos </w:t>
      </w:r>
      <w:r w:rsidR="0081003D">
        <w:rPr>
          <w:rFonts w:ascii="Arial" w:hAnsi="Arial" w:cs="Arial"/>
          <w:color w:val="222222"/>
          <w:sz w:val="24"/>
          <w:szCs w:val="24"/>
        </w:rPr>
        <w:t xml:space="preserve">curriculares </w:t>
      </w:r>
      <w:r w:rsidR="00BD32FB">
        <w:rPr>
          <w:rFonts w:ascii="Arial" w:hAnsi="Arial" w:cs="Arial"/>
          <w:color w:val="222222"/>
          <w:sz w:val="24"/>
          <w:szCs w:val="24"/>
        </w:rPr>
        <w:t>mínimo y máximo que impide se pueda fijar un número distinto. Al aprobarse el proyecto, se flexibiliza la normatividad en atención a las mejores prácticas nacionales e internacionales dentro de los programas y planes de estudio, a fin de determinar el adecuado número de créditos.</w:t>
      </w:r>
    </w:p>
    <w:p w14:paraId="233D8DF9" w14:textId="0B7C5A88" w:rsidR="0081003D" w:rsidRPr="0081003D" w:rsidRDefault="0081003D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38FA8707" w14:textId="0A2531A0" w:rsidR="00D9755B" w:rsidRDefault="0081003D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Cabe mencionar que el sistema de créditos curriculares tiene el objetivo de valorar el desempeño de los alumnos durante su formación profesional. Dichos créditos los obtienen de acuerdo a las materias obligatorias y optativas cursadas, así como todas aquellas actividades curriculares que se pueden llevar dentro y fuera de las aulas universitarias, las cuales permiten diseñar o fortalecer un área de conocimiento que sea de interés de los estudiantes.</w:t>
      </w:r>
    </w:p>
    <w:p w14:paraId="4FED78CE" w14:textId="7C41F4C8" w:rsidR="004063D2" w:rsidRDefault="004063D2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095884F6" w14:textId="23F17EDA" w:rsidR="00FE21CA" w:rsidRDefault="00FE21CA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029C2E7E" w14:textId="3CB03B37" w:rsidR="00FE21CA" w:rsidRDefault="00FE21CA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4FDC8399" w14:textId="77777777" w:rsidR="00FE21CA" w:rsidRPr="004063D2" w:rsidRDefault="00FE21CA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191FDFC5" w14:textId="4F72D7F4" w:rsidR="002C31C4" w:rsidRDefault="004063D2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De igual manera, fue aprobado el Código de Ética del Sistema Universitario de Radio y Televisión Digital de la UABC (SURTV)</w:t>
      </w:r>
      <w:r w:rsidR="00825D59">
        <w:rPr>
          <w:rFonts w:ascii="Arial" w:hAnsi="Arial" w:cs="Arial"/>
          <w:color w:val="222222"/>
          <w:sz w:val="24"/>
          <w:szCs w:val="24"/>
        </w:rPr>
        <w:t>, los Lineamientos del Defensor de las Audiencias del SURTV, los Lineamientos del Consejo Ciudadano de Radiodifusión del SURTV y la Convocatoria de la conformación del Consejo Ciudadano</w:t>
      </w:r>
      <w:r w:rsidR="002C31C4">
        <w:rPr>
          <w:rFonts w:ascii="Arial" w:hAnsi="Arial" w:cs="Arial"/>
          <w:color w:val="222222"/>
          <w:sz w:val="24"/>
          <w:szCs w:val="24"/>
        </w:rPr>
        <w:t xml:space="preserve"> de Radiodifusión del SURTV.</w:t>
      </w:r>
      <w:r w:rsidR="00F40F3C">
        <w:rPr>
          <w:rFonts w:ascii="Arial" w:hAnsi="Arial" w:cs="Arial"/>
          <w:color w:val="222222"/>
          <w:sz w:val="24"/>
          <w:szCs w:val="24"/>
        </w:rPr>
        <w:t xml:space="preserve"> </w:t>
      </w:r>
      <w:r w:rsidR="002C31C4">
        <w:rPr>
          <w:rFonts w:ascii="Arial" w:hAnsi="Arial" w:cs="Arial"/>
          <w:color w:val="222222"/>
          <w:sz w:val="24"/>
          <w:szCs w:val="24"/>
        </w:rPr>
        <w:t>Además, el Reglamento Interno de la Facultad de Ingeniería y Negocios Guadalupe Victoria fue</w:t>
      </w:r>
      <w:r w:rsidR="00F40F3C">
        <w:rPr>
          <w:rFonts w:ascii="Arial" w:hAnsi="Arial" w:cs="Arial"/>
          <w:color w:val="222222"/>
          <w:sz w:val="24"/>
          <w:szCs w:val="24"/>
        </w:rPr>
        <w:t xml:space="preserve"> aprobado, por lo que esta unidad académica cuenta ya con una normatividad.</w:t>
      </w:r>
    </w:p>
    <w:p w14:paraId="03D39093" w14:textId="745C3CB5" w:rsidR="00F40F3C" w:rsidRDefault="00F40F3C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3EEE6144" w14:textId="2AE78DB7" w:rsidR="00F40F3C" w:rsidRPr="001A6B97" w:rsidRDefault="00F40F3C" w:rsidP="004D635C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1A6B97">
        <w:rPr>
          <w:rFonts w:ascii="Arial" w:hAnsi="Arial" w:cs="Arial"/>
          <w:b/>
          <w:color w:val="222222"/>
          <w:sz w:val="24"/>
          <w:szCs w:val="24"/>
        </w:rPr>
        <w:t>Reconocimiento a distinguidas personalidades</w:t>
      </w:r>
    </w:p>
    <w:p w14:paraId="65AEBBDD" w14:textId="06C73403" w:rsidR="002C31C4" w:rsidRDefault="001A6B97" w:rsidP="004D635C">
      <w:pPr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E11558">
        <w:rPr>
          <w:rFonts w:ascii="Arial" w:hAnsi="Arial" w:cs="Arial"/>
          <w:color w:val="222222"/>
          <w:spacing w:val="-2"/>
          <w:sz w:val="24"/>
          <w:szCs w:val="24"/>
        </w:rPr>
        <w:t>Por su trayectoria, dedicación y trascendencia al desarrollo de la psicología que ha tenido a lo largo de 55 años de vida profesional tanto en México como en el extranjero, se aprobó otorgar el grado de Doctor Honoris Causa al doctor E</w:t>
      </w:r>
      <w:r w:rsidR="00A6095D">
        <w:rPr>
          <w:rFonts w:ascii="Arial" w:hAnsi="Arial" w:cs="Arial"/>
          <w:color w:val="222222"/>
          <w:spacing w:val="-2"/>
          <w:sz w:val="24"/>
          <w:szCs w:val="24"/>
        </w:rPr>
        <w:t>milio Ribes Iñesta, quien diseñó</w:t>
      </w:r>
      <w:r w:rsidRPr="00E11558">
        <w:rPr>
          <w:rFonts w:ascii="Arial" w:hAnsi="Arial" w:cs="Arial"/>
          <w:color w:val="222222"/>
          <w:spacing w:val="-2"/>
          <w:sz w:val="24"/>
          <w:szCs w:val="24"/>
        </w:rPr>
        <w:t xml:space="preserve"> y fundó la </w:t>
      </w:r>
      <w:r w:rsidR="00E11558" w:rsidRPr="00E11558">
        <w:rPr>
          <w:rFonts w:ascii="Arial" w:hAnsi="Arial" w:cs="Arial"/>
          <w:color w:val="222222"/>
          <w:spacing w:val="-2"/>
          <w:sz w:val="24"/>
          <w:szCs w:val="24"/>
        </w:rPr>
        <w:t>primera Licenciatura en Psicología en países de habla hispana en la que se integraba la ciencia básica y el conocimiento aplicado. Dicha propuesta fue realizada por el Consejo Técnico de la Facultad de Ciencias Humanas.</w:t>
      </w:r>
    </w:p>
    <w:p w14:paraId="5F101B32" w14:textId="07F038D8" w:rsidR="00E11558" w:rsidRPr="00E11558" w:rsidRDefault="00E11558" w:rsidP="004D635C">
      <w:pPr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123D74E6" w14:textId="75BD7809" w:rsidR="0081003D" w:rsidRDefault="00E11558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Otro reconocimiento que fue aprobado por los consejeros universitarios</w:t>
      </w:r>
      <w:r w:rsidR="00131140">
        <w:rPr>
          <w:rFonts w:ascii="Arial" w:hAnsi="Arial" w:cs="Arial"/>
          <w:color w:val="222222"/>
          <w:spacing w:val="-2"/>
          <w:sz w:val="24"/>
          <w:szCs w:val="24"/>
        </w:rPr>
        <w:t xml:space="preserve"> fue la asignación del nombre del maestro Bardomiano González Pérez al Aula Magna de la Facultad de Pedagogía e Innovación Educativa, propuesta que emitió el Consejo Técnico de esta unidad académica con la finalidad de brindar un homenaje </w:t>
      </w:r>
      <w:r w:rsidR="00EE7550">
        <w:rPr>
          <w:rFonts w:ascii="Arial" w:hAnsi="Arial" w:cs="Arial"/>
          <w:color w:val="222222"/>
          <w:spacing w:val="-2"/>
          <w:sz w:val="24"/>
          <w:szCs w:val="24"/>
        </w:rPr>
        <w:t>póstumo a quien durante 40 años de servicio participó en diversos proyectos de investigación y fungió como director durante 14 años. Su esfuerzo y labor permitió la consolidación de la matrícula, así como la oferta de las carreras de Docencia de la Matemática, Docencia de la Lengua y Literatura, así como Asesoría Psicopedagógica.</w:t>
      </w:r>
    </w:p>
    <w:p w14:paraId="6C5D1ABE" w14:textId="77777777" w:rsidR="00D9755B" w:rsidRPr="00EE7550" w:rsidRDefault="00D9755B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01C8A9C2" w14:textId="77777777" w:rsidR="004063D2" w:rsidRDefault="00D9755B" w:rsidP="004D635C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Puntos turnados para su revisión y análisis</w:t>
      </w:r>
    </w:p>
    <w:p w14:paraId="2BE7E6D7" w14:textId="2322FE94" w:rsidR="00AB7AE1" w:rsidRDefault="00E56BB4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S</w:t>
      </w:r>
      <w:r w:rsidR="008C71D3">
        <w:rPr>
          <w:rFonts w:ascii="Arial" w:hAnsi="Arial" w:cs="Arial"/>
          <w:color w:val="222222"/>
          <w:sz w:val="24"/>
          <w:szCs w:val="24"/>
        </w:rPr>
        <w:t>e presentaron y turnaron a la Comisión Permanente de Asunto</w:t>
      </w:r>
      <w:r w:rsidR="00A6095D">
        <w:rPr>
          <w:rFonts w:ascii="Arial" w:hAnsi="Arial" w:cs="Arial"/>
          <w:color w:val="222222"/>
          <w:sz w:val="24"/>
          <w:szCs w:val="24"/>
        </w:rPr>
        <w:t>s</w:t>
      </w:r>
      <w:r w:rsidR="008C71D3">
        <w:rPr>
          <w:rFonts w:ascii="Arial" w:hAnsi="Arial" w:cs="Arial"/>
          <w:color w:val="222222"/>
          <w:sz w:val="24"/>
          <w:szCs w:val="24"/>
        </w:rPr>
        <w:t xml:space="preserve"> Técnicos la propuesta de creación del plan de estudios del programa educativo de Ingeniero de Software y Tecnologías Emergentes, así como de la Maestría en Ciencia Política. También se turnaron a dicha comisión el análisis correspondiente para la modificación de los planes de estudios de los programas educativos de Licenciado en Lengua y Literatura de Hispanoamérica, Licenciado en Diseño Gráfico y Licenciado en Diseño Industrial.</w:t>
      </w:r>
    </w:p>
    <w:p w14:paraId="4FA6F2DD" w14:textId="52BFDCCE" w:rsidR="008C71D3" w:rsidRPr="00666494" w:rsidRDefault="008C71D3" w:rsidP="004D635C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2586A07B" w14:textId="5699A1CE" w:rsidR="008C71D3" w:rsidRDefault="008C71D3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Finalmente, se turnaron</w:t>
      </w:r>
      <w:r w:rsidR="00F8559A">
        <w:rPr>
          <w:rFonts w:ascii="Arial" w:hAnsi="Arial" w:cs="Arial"/>
          <w:color w:val="222222"/>
          <w:sz w:val="24"/>
          <w:szCs w:val="24"/>
        </w:rPr>
        <w:t xml:space="preserve"> a las comisiones correspondientes </w:t>
      </w:r>
      <w:r>
        <w:rPr>
          <w:rFonts w:ascii="Arial" w:hAnsi="Arial" w:cs="Arial"/>
          <w:color w:val="222222"/>
          <w:sz w:val="24"/>
          <w:szCs w:val="24"/>
        </w:rPr>
        <w:t>para su análisis</w:t>
      </w:r>
      <w:r w:rsidR="00F8559A">
        <w:rPr>
          <w:rFonts w:ascii="Arial" w:hAnsi="Arial" w:cs="Arial"/>
          <w:color w:val="222222"/>
          <w:sz w:val="24"/>
          <w:szCs w:val="24"/>
        </w:rPr>
        <w:t>,</w:t>
      </w:r>
      <w:r>
        <w:rPr>
          <w:rFonts w:ascii="Arial" w:hAnsi="Arial" w:cs="Arial"/>
          <w:color w:val="222222"/>
          <w:sz w:val="24"/>
          <w:szCs w:val="24"/>
        </w:rPr>
        <w:t xml:space="preserve"> las propuestas para modificar el Reglamento Interno de la Facultad de Derecho Mexicali y la asignación del nombre de “Mtro. José Abraham Gómez Gutiérrez”, al Laboratorio de Producción 1 del edificio 47 de la Facultad de Enología y Gastronomía.</w:t>
      </w:r>
    </w:p>
    <w:p w14:paraId="57DE3EC3" w14:textId="041AA040" w:rsidR="008C71D3" w:rsidRDefault="008C71D3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0C826FD3" w14:textId="77777777" w:rsidR="008C71D3" w:rsidRDefault="008C71D3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6BE92A2C" w14:textId="1E196867" w:rsidR="008C71D3" w:rsidRDefault="008C71D3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4FC6E9B2" w14:textId="1D0026EF" w:rsidR="00EE7550" w:rsidRDefault="00EE7550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29E26D6D" w14:textId="6E8CB6D3" w:rsidR="00EE7550" w:rsidRDefault="00EE7550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274EC0C1" w14:textId="13456895" w:rsidR="00EE7550" w:rsidRDefault="00EE7550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68C9E602" w14:textId="2489B850" w:rsidR="00EE7550" w:rsidRDefault="00EE7550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5270A9E1" w14:textId="77777777" w:rsidR="00EE7550" w:rsidRDefault="00EE7550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09C5A401" w14:textId="77777777" w:rsidR="008C71D3" w:rsidRDefault="008C71D3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71435E4F" w14:textId="4085F3D6" w:rsidR="00AB7AE1" w:rsidRDefault="00AB7AE1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6DE82B63" w14:textId="77777777" w:rsidR="00AB7AE1" w:rsidRDefault="00AB7AE1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0BD5668D" w14:textId="14CBEA92" w:rsidR="004D635C" w:rsidRDefault="004D635C" w:rsidP="004D635C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6DF2911E" w14:textId="03E6B661" w:rsidR="004D635C" w:rsidRDefault="004D635C" w:rsidP="00EE7550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EE7550">
        <w:rPr>
          <w:rFonts w:ascii="Arial" w:hAnsi="Arial" w:cs="Arial"/>
          <w:color w:val="FFFFFF" w:themeColor="background1"/>
          <w:sz w:val="24"/>
          <w:szCs w:val="24"/>
        </w:rPr>
        <w:t>Redacción: Norma Angélica Gómez Bravo</w:t>
      </w:r>
    </w:p>
    <w:p w14:paraId="44EF5505" w14:textId="55A249F2" w:rsidR="00537AAA" w:rsidRPr="00EE7550" w:rsidRDefault="00537AAA" w:rsidP="00EE7550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color w:val="FFFFFF" w:themeColor="background1"/>
          <w:sz w:val="24"/>
          <w:szCs w:val="24"/>
        </w:rPr>
        <w:t>Foto: Banco de imágenes</w:t>
      </w:r>
      <w:bookmarkStart w:id="0" w:name="_GoBack"/>
      <w:bookmarkEnd w:id="0"/>
    </w:p>
    <w:sectPr w:rsidR="00537AAA" w:rsidRPr="00EE7550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231BA" w14:textId="77777777" w:rsidR="007B08D1" w:rsidRDefault="007B08D1">
      <w:r>
        <w:separator/>
      </w:r>
    </w:p>
  </w:endnote>
  <w:endnote w:type="continuationSeparator" w:id="0">
    <w:p w14:paraId="39B61BB0" w14:textId="77777777" w:rsidR="007B08D1" w:rsidRDefault="007B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2F6C1" w14:textId="77777777" w:rsidR="007B08D1" w:rsidRDefault="007B08D1">
      <w:r>
        <w:rPr>
          <w:color w:val="000000"/>
        </w:rPr>
        <w:separator/>
      </w:r>
    </w:p>
  </w:footnote>
  <w:footnote w:type="continuationSeparator" w:id="0">
    <w:p w14:paraId="75653664" w14:textId="77777777" w:rsidR="007B08D1" w:rsidRDefault="007B0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18"/>
  </w:num>
  <w:num w:numId="4">
    <w:abstractNumId w:val="8"/>
  </w:num>
  <w:num w:numId="5">
    <w:abstractNumId w:val="17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5"/>
  </w:num>
  <w:num w:numId="11">
    <w:abstractNumId w:val="9"/>
  </w:num>
  <w:num w:numId="12">
    <w:abstractNumId w:val="5"/>
  </w:num>
  <w:num w:numId="13">
    <w:abstractNumId w:val="10"/>
  </w:num>
  <w:num w:numId="14">
    <w:abstractNumId w:val="21"/>
  </w:num>
  <w:num w:numId="15">
    <w:abstractNumId w:val="12"/>
  </w:num>
  <w:num w:numId="16">
    <w:abstractNumId w:val="27"/>
  </w:num>
  <w:num w:numId="17">
    <w:abstractNumId w:val="11"/>
  </w:num>
  <w:num w:numId="18">
    <w:abstractNumId w:val="19"/>
  </w:num>
  <w:num w:numId="19">
    <w:abstractNumId w:val="0"/>
  </w:num>
  <w:num w:numId="20">
    <w:abstractNumId w:val="16"/>
  </w:num>
  <w:num w:numId="21">
    <w:abstractNumId w:val="20"/>
  </w:num>
  <w:num w:numId="22">
    <w:abstractNumId w:val="23"/>
  </w:num>
  <w:num w:numId="23">
    <w:abstractNumId w:val="20"/>
  </w:num>
  <w:num w:numId="24">
    <w:abstractNumId w:val="13"/>
  </w:num>
  <w:num w:numId="25">
    <w:abstractNumId w:val="2"/>
  </w:num>
  <w:num w:numId="26">
    <w:abstractNumId w:val="7"/>
  </w:num>
  <w:num w:numId="27">
    <w:abstractNumId w:val="14"/>
  </w:num>
  <w:num w:numId="28">
    <w:abstractNumId w:val="24"/>
  </w:num>
  <w:num w:numId="2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AAA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8D1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2F26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5D4AC-43E7-4753-AC5E-2D862AEC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920</Words>
  <Characters>5066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28</cp:revision>
  <cp:lastPrinted>2020-02-29T01:01:00Z</cp:lastPrinted>
  <dcterms:created xsi:type="dcterms:W3CDTF">2021-05-19T21:26:00Z</dcterms:created>
  <dcterms:modified xsi:type="dcterms:W3CDTF">2021-05-20T22:12:00Z</dcterms:modified>
</cp:coreProperties>
</file>