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5A051" w14:textId="4E5184E2" w:rsidR="005D7482" w:rsidRDefault="003551BA" w:rsidP="005D7482">
      <w:pPr>
        <w:jc w:val="center"/>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F82B92">
        <w:rPr>
          <w:rFonts w:ascii="Arial" w:hAnsi="Arial" w:cs="Arial"/>
          <w:b/>
          <w:sz w:val="24"/>
          <w:szCs w:val="24"/>
        </w:rPr>
        <w:t xml:space="preserve">BOLETÍN </w:t>
      </w:r>
      <w:r w:rsidR="00C87AD8" w:rsidRPr="00A00AD9">
        <w:rPr>
          <w:rFonts w:ascii="Arial" w:hAnsi="Arial" w:cs="Arial"/>
          <w:b/>
          <w:sz w:val="24"/>
          <w:szCs w:val="24"/>
        </w:rPr>
        <w:t>0</w:t>
      </w:r>
      <w:r w:rsidR="00B81DEE">
        <w:rPr>
          <w:rFonts w:ascii="Arial" w:hAnsi="Arial" w:cs="Arial"/>
          <w:b/>
          <w:sz w:val="24"/>
          <w:szCs w:val="24"/>
        </w:rPr>
        <w:t>1</w:t>
      </w:r>
      <w:r w:rsidR="00207A3A">
        <w:rPr>
          <w:rFonts w:ascii="Arial" w:hAnsi="Arial" w:cs="Arial"/>
          <w:b/>
          <w:sz w:val="24"/>
          <w:szCs w:val="24"/>
        </w:rPr>
        <w:t>9</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3BEFE2A0" w14:textId="77777777" w:rsidR="005D7482" w:rsidRPr="005D7482" w:rsidRDefault="005D7482" w:rsidP="005D7482">
      <w:pPr>
        <w:jc w:val="center"/>
        <w:rPr>
          <w:rFonts w:ascii="Arial" w:hAnsi="Arial" w:cs="Arial"/>
          <w:b/>
          <w:bCs/>
          <w:sz w:val="16"/>
          <w:szCs w:val="16"/>
        </w:rPr>
      </w:pPr>
    </w:p>
    <w:p w14:paraId="3790337E" w14:textId="68788CC5" w:rsidR="0075650C" w:rsidRPr="00564D56" w:rsidRDefault="00D578F9" w:rsidP="0075650C">
      <w:pPr>
        <w:shd w:val="clear" w:color="auto" w:fill="FFFFFF"/>
        <w:jc w:val="center"/>
        <w:rPr>
          <w:color w:val="000000"/>
          <w:spacing w:val="-4"/>
          <w:sz w:val="34"/>
          <w:szCs w:val="34"/>
        </w:rPr>
      </w:pPr>
      <w:r w:rsidRPr="00564D56">
        <w:rPr>
          <w:rFonts w:ascii="Arial" w:hAnsi="Arial" w:cs="Arial"/>
          <w:b/>
          <w:bCs/>
          <w:color w:val="222222"/>
          <w:spacing w:val="-4"/>
          <w:sz w:val="34"/>
          <w:szCs w:val="34"/>
        </w:rPr>
        <w:t>Refuerza UABC formación de profesionistas del área de la salud</w:t>
      </w:r>
    </w:p>
    <w:p w14:paraId="32143BCC" w14:textId="77777777" w:rsidR="0075650C" w:rsidRPr="00252F6C" w:rsidRDefault="0075650C" w:rsidP="0075650C">
      <w:pPr>
        <w:shd w:val="clear" w:color="auto" w:fill="FFFFFF"/>
        <w:jc w:val="center"/>
        <w:rPr>
          <w:color w:val="000000"/>
          <w:sz w:val="16"/>
          <w:szCs w:val="16"/>
        </w:rPr>
      </w:pPr>
      <w:r w:rsidRPr="00252F6C">
        <w:rPr>
          <w:rFonts w:ascii="Arial" w:hAnsi="Arial" w:cs="Arial"/>
          <w:color w:val="222222"/>
          <w:sz w:val="16"/>
          <w:szCs w:val="16"/>
        </w:rPr>
        <w:t> </w:t>
      </w:r>
    </w:p>
    <w:p w14:paraId="2E061F18" w14:textId="2F5D5868" w:rsidR="0075650C" w:rsidRPr="00D578F9" w:rsidRDefault="00D578F9" w:rsidP="00D578F9">
      <w:pPr>
        <w:pStyle w:val="Prrafodelista"/>
        <w:numPr>
          <w:ilvl w:val="0"/>
          <w:numId w:val="35"/>
        </w:numPr>
        <w:shd w:val="clear" w:color="auto" w:fill="FFFFFF"/>
        <w:ind w:left="284" w:hanging="284"/>
        <w:jc w:val="both"/>
        <w:rPr>
          <w:rFonts w:ascii="Arial" w:hAnsi="Arial" w:cs="Arial"/>
          <w:color w:val="000000"/>
          <w:sz w:val="24"/>
          <w:szCs w:val="24"/>
        </w:rPr>
      </w:pPr>
      <w:r w:rsidRPr="00D578F9">
        <w:rPr>
          <w:rFonts w:ascii="Arial" w:hAnsi="Arial" w:cs="Arial"/>
          <w:color w:val="000000"/>
          <w:sz w:val="24"/>
          <w:szCs w:val="24"/>
        </w:rPr>
        <w:t>Firma convenios específicos de colaboración con el IMSS.</w:t>
      </w:r>
    </w:p>
    <w:p w14:paraId="001C1759" w14:textId="77777777" w:rsidR="00D578F9" w:rsidRPr="00252F6C" w:rsidRDefault="00D578F9" w:rsidP="00207A3A">
      <w:pPr>
        <w:shd w:val="clear" w:color="auto" w:fill="FFFFFF"/>
        <w:jc w:val="both"/>
        <w:rPr>
          <w:rFonts w:ascii="Arial" w:hAnsi="Arial" w:cs="Arial"/>
          <w:b/>
          <w:bCs/>
          <w:color w:val="222222"/>
          <w:spacing w:val="-2"/>
          <w:sz w:val="16"/>
          <w:szCs w:val="16"/>
        </w:rPr>
      </w:pPr>
    </w:p>
    <w:p w14:paraId="576E1907" w14:textId="64508570" w:rsidR="009F50D9" w:rsidRDefault="0075650C" w:rsidP="00207A3A">
      <w:pPr>
        <w:shd w:val="clear" w:color="auto" w:fill="FFFFFF"/>
        <w:jc w:val="both"/>
        <w:rPr>
          <w:rFonts w:ascii="Arial" w:hAnsi="Arial" w:cs="Arial"/>
          <w:color w:val="222222"/>
          <w:spacing w:val="-2"/>
          <w:sz w:val="24"/>
          <w:szCs w:val="24"/>
        </w:rPr>
      </w:pPr>
      <w:r w:rsidRPr="0075650C">
        <w:rPr>
          <w:rFonts w:ascii="Arial" w:hAnsi="Arial" w:cs="Arial"/>
          <w:b/>
          <w:bCs/>
          <w:color w:val="222222"/>
          <w:spacing w:val="-2"/>
          <w:sz w:val="24"/>
          <w:szCs w:val="24"/>
        </w:rPr>
        <w:t>Mexicali, B</w:t>
      </w:r>
      <w:r w:rsidR="00EA685C">
        <w:rPr>
          <w:rFonts w:ascii="Arial" w:hAnsi="Arial" w:cs="Arial"/>
          <w:b/>
          <w:bCs/>
          <w:color w:val="222222"/>
          <w:spacing w:val="-2"/>
          <w:sz w:val="24"/>
          <w:szCs w:val="24"/>
        </w:rPr>
        <w:t xml:space="preserve">aja </w:t>
      </w:r>
      <w:r w:rsidR="00AB5C11">
        <w:rPr>
          <w:rFonts w:ascii="Arial" w:hAnsi="Arial" w:cs="Arial"/>
          <w:b/>
          <w:bCs/>
          <w:color w:val="222222"/>
          <w:spacing w:val="-2"/>
          <w:sz w:val="24"/>
          <w:szCs w:val="24"/>
        </w:rPr>
        <w:t>California</w:t>
      </w:r>
      <w:r w:rsidRPr="0075650C">
        <w:rPr>
          <w:rFonts w:ascii="Arial" w:hAnsi="Arial" w:cs="Arial"/>
          <w:b/>
          <w:bCs/>
          <w:color w:val="222222"/>
          <w:spacing w:val="-2"/>
          <w:sz w:val="24"/>
          <w:szCs w:val="24"/>
        </w:rPr>
        <w:t xml:space="preserve">, </w:t>
      </w:r>
      <w:r w:rsidR="00207A3A">
        <w:rPr>
          <w:rFonts w:ascii="Arial" w:hAnsi="Arial" w:cs="Arial"/>
          <w:b/>
          <w:bCs/>
          <w:spacing w:val="-2"/>
          <w:sz w:val="24"/>
          <w:szCs w:val="24"/>
        </w:rPr>
        <w:t xml:space="preserve">viernes 6 </w:t>
      </w:r>
      <w:r w:rsidR="00AB5C11">
        <w:rPr>
          <w:rFonts w:ascii="Arial" w:hAnsi="Arial" w:cs="Arial"/>
          <w:b/>
          <w:bCs/>
          <w:color w:val="222222"/>
          <w:spacing w:val="-2"/>
          <w:sz w:val="24"/>
          <w:szCs w:val="24"/>
        </w:rPr>
        <w:t>de agosto de 2021</w:t>
      </w:r>
      <w:r w:rsidRPr="0075650C">
        <w:rPr>
          <w:rFonts w:ascii="Arial" w:hAnsi="Arial" w:cs="Arial"/>
          <w:color w:val="222222"/>
          <w:spacing w:val="-2"/>
          <w:sz w:val="24"/>
          <w:szCs w:val="24"/>
        </w:rPr>
        <w:t>.-</w:t>
      </w:r>
      <w:r w:rsidR="00DA6B98">
        <w:rPr>
          <w:rFonts w:ascii="Arial" w:hAnsi="Arial" w:cs="Arial"/>
          <w:color w:val="222222"/>
          <w:spacing w:val="-2"/>
          <w:sz w:val="24"/>
          <w:szCs w:val="24"/>
        </w:rPr>
        <w:t xml:space="preserve"> </w:t>
      </w:r>
      <w:r w:rsidR="009F50D9">
        <w:rPr>
          <w:rFonts w:ascii="Arial" w:hAnsi="Arial" w:cs="Arial"/>
          <w:color w:val="222222"/>
          <w:spacing w:val="-2"/>
          <w:sz w:val="24"/>
          <w:szCs w:val="24"/>
        </w:rPr>
        <w:t>La Universidad Autónoma de Baja California (UABC y el Instituto Mexicano del Seguro Social (IMSS) se aliaron para colaborar en el crecimiento y desarrollo de los profesionistas del área de la salud para beneficio de la sociedad bajacaliforniana. Para ello, se firmaron diversos convenios</w:t>
      </w:r>
      <w:r w:rsidR="00D578F9">
        <w:rPr>
          <w:rFonts w:ascii="Arial" w:hAnsi="Arial" w:cs="Arial"/>
          <w:color w:val="222222"/>
          <w:spacing w:val="-2"/>
          <w:sz w:val="24"/>
          <w:szCs w:val="24"/>
        </w:rPr>
        <w:t xml:space="preserve"> específicos</w:t>
      </w:r>
      <w:r w:rsidR="009F50D9">
        <w:rPr>
          <w:rFonts w:ascii="Arial" w:hAnsi="Arial" w:cs="Arial"/>
          <w:color w:val="222222"/>
          <w:spacing w:val="-2"/>
          <w:sz w:val="24"/>
          <w:szCs w:val="24"/>
        </w:rPr>
        <w:t xml:space="preserve"> de colaboración en los que se establece la realización de servicio social, prácticas profesionales, residencias, internado y campos clínicos, actividades que involucran tanto a los estudiantes y académicos de la </w:t>
      </w:r>
      <w:r w:rsidR="0085580A">
        <w:rPr>
          <w:rFonts w:ascii="Arial" w:hAnsi="Arial" w:cs="Arial"/>
          <w:color w:val="222222"/>
          <w:spacing w:val="-2"/>
          <w:sz w:val="24"/>
          <w:szCs w:val="24"/>
        </w:rPr>
        <w:t>universidad</w:t>
      </w:r>
      <w:r w:rsidR="009F50D9">
        <w:rPr>
          <w:rFonts w:ascii="Arial" w:hAnsi="Arial" w:cs="Arial"/>
          <w:color w:val="222222"/>
          <w:spacing w:val="-2"/>
          <w:sz w:val="24"/>
          <w:szCs w:val="24"/>
        </w:rPr>
        <w:t xml:space="preserve">, así como a los trabajadores del </w:t>
      </w:r>
      <w:r w:rsidR="0085580A">
        <w:rPr>
          <w:rFonts w:ascii="Arial" w:hAnsi="Arial" w:cs="Arial"/>
          <w:color w:val="222222"/>
          <w:spacing w:val="-2"/>
          <w:sz w:val="24"/>
          <w:szCs w:val="24"/>
        </w:rPr>
        <w:t>seguro social</w:t>
      </w:r>
      <w:r w:rsidR="009F50D9">
        <w:rPr>
          <w:rFonts w:ascii="Arial" w:hAnsi="Arial" w:cs="Arial"/>
          <w:color w:val="222222"/>
          <w:spacing w:val="-2"/>
          <w:sz w:val="24"/>
          <w:szCs w:val="24"/>
        </w:rPr>
        <w:t>.</w:t>
      </w:r>
    </w:p>
    <w:p w14:paraId="4D8FE81A" w14:textId="24C806B0" w:rsidR="009F50D9" w:rsidRPr="0022276B" w:rsidRDefault="009F50D9" w:rsidP="00207A3A">
      <w:pPr>
        <w:shd w:val="clear" w:color="auto" w:fill="FFFFFF"/>
        <w:jc w:val="both"/>
        <w:rPr>
          <w:rFonts w:ascii="Arial" w:hAnsi="Arial" w:cs="Arial"/>
          <w:color w:val="222222"/>
          <w:spacing w:val="-2"/>
          <w:sz w:val="16"/>
          <w:szCs w:val="16"/>
        </w:rPr>
      </w:pPr>
    </w:p>
    <w:p w14:paraId="0F978CAB" w14:textId="77777777" w:rsidR="0022276B" w:rsidRDefault="009F50D9" w:rsidP="00207A3A">
      <w:pPr>
        <w:shd w:val="clear" w:color="auto" w:fill="FFFFFF"/>
        <w:jc w:val="both"/>
        <w:rPr>
          <w:rFonts w:ascii="Arial" w:hAnsi="Arial" w:cs="Arial"/>
          <w:color w:val="222222"/>
          <w:spacing w:val="-2"/>
          <w:sz w:val="24"/>
          <w:szCs w:val="24"/>
        </w:rPr>
      </w:pPr>
      <w:r>
        <w:rPr>
          <w:rFonts w:ascii="Arial" w:hAnsi="Arial" w:cs="Arial"/>
          <w:color w:val="222222"/>
          <w:spacing w:val="-2"/>
          <w:sz w:val="24"/>
          <w:szCs w:val="24"/>
        </w:rPr>
        <w:t>S</w:t>
      </w:r>
      <w:r w:rsidR="0022276B">
        <w:rPr>
          <w:rFonts w:ascii="Arial" w:hAnsi="Arial" w:cs="Arial"/>
          <w:color w:val="222222"/>
          <w:spacing w:val="-2"/>
          <w:sz w:val="24"/>
          <w:szCs w:val="24"/>
        </w:rPr>
        <w:t>ignaron los convenios los titulares de las instituciones, el rector de la UABC, doctor Daniel Octavio Valdez Delgadillo y la representante del IMSS, doctora Desirée Sagarnaga Durante. Como testigos de la firma fungieron el doctor David Guadalupe Toledo Sarracino, coordinador general de Vinculación y Cooperación Académica de la UABC y la doctora Fátima Borrego Pérez, jefa de los Servicios de Prestaciones Médicas.</w:t>
      </w:r>
    </w:p>
    <w:p w14:paraId="3D3C37F0" w14:textId="77777777" w:rsidR="0022276B" w:rsidRPr="0022276B" w:rsidRDefault="0022276B" w:rsidP="00207A3A">
      <w:pPr>
        <w:shd w:val="clear" w:color="auto" w:fill="FFFFFF"/>
        <w:jc w:val="both"/>
        <w:rPr>
          <w:rFonts w:ascii="Arial" w:hAnsi="Arial" w:cs="Arial"/>
          <w:color w:val="222222"/>
          <w:spacing w:val="-2"/>
          <w:sz w:val="16"/>
          <w:szCs w:val="16"/>
        </w:rPr>
      </w:pPr>
    </w:p>
    <w:p w14:paraId="4CE5BBA1" w14:textId="77777777" w:rsidR="00D578F9" w:rsidRDefault="0022276B" w:rsidP="0022276B">
      <w:pPr>
        <w:shd w:val="clear" w:color="auto" w:fill="FFFFFF"/>
        <w:jc w:val="both"/>
        <w:rPr>
          <w:rFonts w:ascii="Arial" w:hAnsi="Arial" w:cs="Arial"/>
          <w:color w:val="000000"/>
          <w:sz w:val="24"/>
          <w:szCs w:val="24"/>
        </w:rPr>
      </w:pPr>
      <w:r w:rsidRPr="0022276B">
        <w:rPr>
          <w:rFonts w:ascii="Arial" w:hAnsi="Arial" w:cs="Arial"/>
          <w:color w:val="222222"/>
          <w:spacing w:val="-2"/>
          <w:sz w:val="24"/>
          <w:szCs w:val="24"/>
        </w:rPr>
        <w:t xml:space="preserve">El doctor Valdez Delgadillo </w:t>
      </w:r>
      <w:r>
        <w:rPr>
          <w:rFonts w:ascii="Arial" w:hAnsi="Arial" w:cs="Arial"/>
          <w:color w:val="222222"/>
          <w:spacing w:val="-2"/>
          <w:sz w:val="24"/>
          <w:szCs w:val="24"/>
        </w:rPr>
        <w:t>destacó que es importante generar alianzas con las instituciones en las que los universitarios puedan participar y generar estrategias que abonen al fortalecimiento de los profesionistas. “</w:t>
      </w:r>
      <w:r w:rsidR="00D578F9">
        <w:rPr>
          <w:rFonts w:ascii="Arial" w:hAnsi="Arial" w:cs="Arial"/>
          <w:color w:val="222222"/>
          <w:spacing w:val="-2"/>
          <w:sz w:val="24"/>
          <w:szCs w:val="24"/>
        </w:rPr>
        <w:t>L</w:t>
      </w:r>
      <w:r w:rsidRPr="0022276B">
        <w:rPr>
          <w:rFonts w:ascii="Arial" w:hAnsi="Arial" w:cs="Arial"/>
          <w:color w:val="000000"/>
          <w:sz w:val="24"/>
          <w:szCs w:val="24"/>
        </w:rPr>
        <w:t>o que queremos es que nuestros e</w:t>
      </w:r>
      <w:r w:rsidR="00D578F9">
        <w:rPr>
          <w:rFonts w:ascii="Arial" w:hAnsi="Arial" w:cs="Arial"/>
          <w:color w:val="000000"/>
          <w:sz w:val="24"/>
          <w:szCs w:val="24"/>
        </w:rPr>
        <w:t>studiantes salgan bien formados”, manifestó.</w:t>
      </w:r>
    </w:p>
    <w:p w14:paraId="75A88676" w14:textId="77777777" w:rsidR="00D578F9" w:rsidRPr="00D578F9" w:rsidRDefault="00D578F9" w:rsidP="0022276B">
      <w:pPr>
        <w:shd w:val="clear" w:color="auto" w:fill="FFFFFF"/>
        <w:jc w:val="both"/>
        <w:rPr>
          <w:rFonts w:ascii="Arial" w:hAnsi="Arial" w:cs="Arial"/>
          <w:color w:val="000000"/>
          <w:sz w:val="16"/>
          <w:szCs w:val="16"/>
        </w:rPr>
      </w:pPr>
    </w:p>
    <w:p w14:paraId="49DF3856" w14:textId="2909D4C7" w:rsidR="0022276B" w:rsidRPr="0022276B" w:rsidRDefault="00D578F9" w:rsidP="0022276B">
      <w:pPr>
        <w:shd w:val="clear" w:color="auto" w:fill="FFFFFF"/>
        <w:jc w:val="both"/>
        <w:rPr>
          <w:rFonts w:ascii="Arial" w:hAnsi="Arial" w:cs="Arial"/>
          <w:color w:val="000000"/>
          <w:sz w:val="24"/>
          <w:szCs w:val="24"/>
        </w:rPr>
      </w:pPr>
      <w:r>
        <w:rPr>
          <w:rFonts w:ascii="Arial" w:hAnsi="Arial" w:cs="Arial"/>
          <w:color w:val="000000"/>
          <w:sz w:val="24"/>
          <w:szCs w:val="24"/>
        </w:rPr>
        <w:t xml:space="preserve">Agregó que la UABC aportará en la ampliación y actualización de conocimientos, por lo que entre los diversos convenios se firmó uno cuyo objetivo es desarrollar actividades relativas al desarrollo de proyectos de educación continua. “De esta forma podemos brindar lo mejor </w:t>
      </w:r>
      <w:r w:rsidR="0022276B" w:rsidRPr="0022276B">
        <w:rPr>
          <w:rFonts w:ascii="Arial" w:hAnsi="Arial" w:cs="Arial"/>
          <w:color w:val="000000"/>
          <w:sz w:val="24"/>
          <w:szCs w:val="24"/>
        </w:rPr>
        <w:t>a los universitarios y los profesionales del área de la salud</w:t>
      </w:r>
      <w:r>
        <w:rPr>
          <w:rFonts w:ascii="Arial" w:hAnsi="Arial" w:cs="Arial"/>
          <w:color w:val="000000"/>
          <w:sz w:val="24"/>
          <w:szCs w:val="24"/>
        </w:rPr>
        <w:t>, y así g</w:t>
      </w:r>
      <w:r w:rsidR="0022276B" w:rsidRPr="0022276B">
        <w:rPr>
          <w:rFonts w:ascii="Arial" w:hAnsi="Arial" w:cs="Arial"/>
          <w:color w:val="000000"/>
          <w:sz w:val="24"/>
          <w:szCs w:val="24"/>
        </w:rPr>
        <w:t>anamos todos</w:t>
      </w:r>
      <w:r>
        <w:rPr>
          <w:rFonts w:ascii="Arial" w:hAnsi="Arial" w:cs="Arial"/>
          <w:color w:val="000000"/>
          <w:sz w:val="24"/>
          <w:szCs w:val="24"/>
        </w:rPr>
        <w:t>”, puntualizó.</w:t>
      </w:r>
    </w:p>
    <w:p w14:paraId="138114DC" w14:textId="77777777" w:rsidR="0022276B" w:rsidRPr="006E4D4A" w:rsidRDefault="0022276B" w:rsidP="0022276B">
      <w:pPr>
        <w:shd w:val="clear" w:color="auto" w:fill="FFFFFF"/>
        <w:jc w:val="both"/>
        <w:rPr>
          <w:rFonts w:ascii="Arial" w:hAnsi="Arial" w:cs="Arial"/>
          <w:color w:val="000000"/>
          <w:sz w:val="16"/>
          <w:szCs w:val="16"/>
        </w:rPr>
      </w:pPr>
    </w:p>
    <w:p w14:paraId="5A09F8B0" w14:textId="43186FFD" w:rsidR="0022276B" w:rsidRPr="006E4D4A" w:rsidRDefault="005D0FC1" w:rsidP="0022276B">
      <w:pPr>
        <w:shd w:val="clear" w:color="auto" w:fill="FFFFFF"/>
        <w:jc w:val="both"/>
        <w:rPr>
          <w:rFonts w:ascii="Arial" w:hAnsi="Arial" w:cs="Arial"/>
          <w:sz w:val="24"/>
        </w:rPr>
      </w:pPr>
      <w:r w:rsidRPr="006E4D4A">
        <w:rPr>
          <w:rFonts w:ascii="Arial" w:hAnsi="Arial" w:cs="Arial"/>
          <w:sz w:val="24"/>
          <w:szCs w:val="24"/>
        </w:rPr>
        <w:t>La doc</w:t>
      </w:r>
      <w:r w:rsidR="006E4D4A" w:rsidRPr="006E4D4A">
        <w:rPr>
          <w:rFonts w:ascii="Arial" w:hAnsi="Arial" w:cs="Arial"/>
          <w:sz w:val="24"/>
          <w:szCs w:val="24"/>
        </w:rPr>
        <w:t>tora Sagarnaga Dura</w:t>
      </w:r>
      <w:r w:rsidR="006E4D4A">
        <w:rPr>
          <w:rFonts w:ascii="Arial" w:hAnsi="Arial" w:cs="Arial"/>
          <w:sz w:val="24"/>
          <w:szCs w:val="24"/>
        </w:rPr>
        <w:t>nte respaldó al rector sobre los beneficios que se obtendrán</w:t>
      </w:r>
      <w:r w:rsidR="006E4D4A" w:rsidRPr="006E4D4A">
        <w:rPr>
          <w:rFonts w:ascii="Arial" w:hAnsi="Arial" w:cs="Arial"/>
          <w:sz w:val="24"/>
          <w:szCs w:val="24"/>
        </w:rPr>
        <w:t>. “</w:t>
      </w:r>
      <w:r w:rsidR="0022276B" w:rsidRPr="006E4D4A">
        <w:rPr>
          <w:rFonts w:ascii="Arial" w:hAnsi="Arial" w:cs="Arial"/>
          <w:sz w:val="24"/>
          <w:szCs w:val="24"/>
        </w:rPr>
        <w:t>Esa es la idea, que colaboremos conjuntamente</w:t>
      </w:r>
      <w:r w:rsidR="006E4D4A">
        <w:rPr>
          <w:rFonts w:ascii="Arial" w:hAnsi="Arial" w:cs="Arial"/>
          <w:sz w:val="24"/>
          <w:szCs w:val="24"/>
        </w:rPr>
        <w:t xml:space="preserve">. </w:t>
      </w:r>
      <w:r w:rsidR="0022276B" w:rsidRPr="006E4D4A">
        <w:rPr>
          <w:rFonts w:ascii="Arial" w:hAnsi="Arial" w:cs="Arial"/>
          <w:sz w:val="24"/>
          <w:szCs w:val="24"/>
        </w:rPr>
        <w:t xml:space="preserve">Nosotros tenemos los campos clínicos </w:t>
      </w:r>
      <w:r w:rsidR="006E4D4A">
        <w:rPr>
          <w:rFonts w:ascii="Arial" w:hAnsi="Arial" w:cs="Arial"/>
          <w:sz w:val="24"/>
          <w:szCs w:val="24"/>
        </w:rPr>
        <w:t xml:space="preserve">y trabajadores del área de la salud que fungen como asesores que necesitan los estudiantes </w:t>
      </w:r>
      <w:r w:rsidR="0022276B" w:rsidRPr="006E4D4A">
        <w:rPr>
          <w:rFonts w:ascii="Arial" w:hAnsi="Arial" w:cs="Arial"/>
          <w:sz w:val="24"/>
          <w:szCs w:val="24"/>
        </w:rPr>
        <w:t xml:space="preserve">y </w:t>
      </w:r>
      <w:r w:rsidR="006E4D4A">
        <w:rPr>
          <w:rFonts w:ascii="Arial" w:hAnsi="Arial" w:cs="Arial"/>
          <w:sz w:val="24"/>
          <w:szCs w:val="24"/>
        </w:rPr>
        <w:t xml:space="preserve">ustedes cuentan con </w:t>
      </w:r>
      <w:r w:rsidR="0022276B" w:rsidRPr="006E4D4A">
        <w:rPr>
          <w:rFonts w:ascii="Arial" w:hAnsi="Arial" w:cs="Arial"/>
          <w:sz w:val="24"/>
          <w:szCs w:val="24"/>
        </w:rPr>
        <w:t>esa futura plantilla con la que vamos a trabajar</w:t>
      </w:r>
      <w:r w:rsidR="006E4D4A">
        <w:rPr>
          <w:rFonts w:ascii="Arial" w:hAnsi="Arial" w:cs="Arial"/>
          <w:sz w:val="24"/>
        </w:rPr>
        <w:t xml:space="preserve"> y qué mejor que </w:t>
      </w:r>
      <w:r w:rsidR="0022276B" w:rsidRPr="006E4D4A">
        <w:rPr>
          <w:rFonts w:ascii="Arial" w:hAnsi="Arial" w:cs="Arial"/>
          <w:sz w:val="24"/>
        </w:rPr>
        <w:t>esté formada en una institución como la UABC</w:t>
      </w:r>
      <w:r w:rsidR="006E4D4A">
        <w:rPr>
          <w:rFonts w:ascii="Arial" w:hAnsi="Arial" w:cs="Arial"/>
          <w:sz w:val="24"/>
        </w:rPr>
        <w:t>”, manifestó</w:t>
      </w:r>
      <w:r w:rsidR="0022276B" w:rsidRPr="006E4D4A">
        <w:rPr>
          <w:rFonts w:ascii="Arial" w:hAnsi="Arial" w:cs="Arial"/>
          <w:sz w:val="24"/>
        </w:rPr>
        <w:t>.</w:t>
      </w:r>
    </w:p>
    <w:p w14:paraId="27D91628" w14:textId="77777777" w:rsidR="0022276B" w:rsidRPr="004F6182" w:rsidRDefault="0022276B" w:rsidP="00207A3A">
      <w:pPr>
        <w:shd w:val="clear" w:color="auto" w:fill="FFFFFF"/>
        <w:jc w:val="both"/>
        <w:rPr>
          <w:rFonts w:ascii="Arial" w:hAnsi="Arial" w:cs="Arial"/>
          <w:color w:val="FF0000"/>
          <w:spacing w:val="-2"/>
          <w:sz w:val="16"/>
          <w:szCs w:val="16"/>
        </w:rPr>
      </w:pPr>
    </w:p>
    <w:p w14:paraId="23CAD314" w14:textId="77777777" w:rsidR="00F02B26" w:rsidRDefault="004F6182" w:rsidP="00097197">
      <w:pPr>
        <w:autoSpaceDN/>
        <w:jc w:val="both"/>
        <w:rPr>
          <w:rFonts w:ascii="Arial" w:hAnsi="Arial" w:cs="Arial"/>
          <w:sz w:val="24"/>
        </w:rPr>
      </w:pPr>
      <w:r w:rsidRPr="004F6182">
        <w:rPr>
          <w:rFonts w:ascii="Arial" w:hAnsi="Arial" w:cs="Arial"/>
          <w:sz w:val="24"/>
        </w:rPr>
        <w:t xml:space="preserve">En la firma de convenio también estuvo presente el secretario general de la UABC, doctor Luis Enrique Palafox Maestre, quien expuso que con los 37 convenios específicos que se firmaron este día, se fortalecerá la </w:t>
      </w:r>
      <w:r w:rsidR="00097197" w:rsidRPr="00097197">
        <w:rPr>
          <w:rFonts w:ascii="Arial" w:hAnsi="Arial" w:cs="Arial"/>
          <w:sz w:val="24"/>
        </w:rPr>
        <w:t xml:space="preserve">formación de profesionales de la salud en nivel pregrado; </w:t>
      </w:r>
      <w:r w:rsidRPr="004F6182">
        <w:rPr>
          <w:rFonts w:ascii="Arial" w:hAnsi="Arial" w:cs="Arial"/>
          <w:sz w:val="24"/>
        </w:rPr>
        <w:t xml:space="preserve">se </w:t>
      </w:r>
      <w:r w:rsidR="00097197" w:rsidRPr="00097197">
        <w:rPr>
          <w:rFonts w:ascii="Arial" w:hAnsi="Arial" w:cs="Arial"/>
          <w:sz w:val="24"/>
        </w:rPr>
        <w:t>diversificar</w:t>
      </w:r>
      <w:r w:rsidRPr="004F6182">
        <w:rPr>
          <w:rFonts w:ascii="Arial" w:hAnsi="Arial" w:cs="Arial"/>
          <w:sz w:val="24"/>
        </w:rPr>
        <w:t>á</w:t>
      </w:r>
      <w:r w:rsidR="00097197" w:rsidRPr="00097197">
        <w:rPr>
          <w:rFonts w:ascii="Arial" w:hAnsi="Arial" w:cs="Arial"/>
          <w:sz w:val="24"/>
        </w:rPr>
        <w:t xml:space="preserve"> la oferta de programas de posgrado, específicamente especialidades médicas, así como </w:t>
      </w:r>
      <w:r w:rsidRPr="004F6182">
        <w:rPr>
          <w:rFonts w:ascii="Arial" w:hAnsi="Arial" w:cs="Arial"/>
          <w:sz w:val="24"/>
        </w:rPr>
        <w:t xml:space="preserve">se </w:t>
      </w:r>
      <w:r w:rsidR="00097197" w:rsidRPr="00097197">
        <w:rPr>
          <w:rFonts w:ascii="Arial" w:hAnsi="Arial" w:cs="Arial"/>
          <w:sz w:val="24"/>
        </w:rPr>
        <w:t>establecer</w:t>
      </w:r>
      <w:r w:rsidRPr="004F6182">
        <w:rPr>
          <w:rFonts w:ascii="Arial" w:hAnsi="Arial" w:cs="Arial"/>
          <w:sz w:val="24"/>
        </w:rPr>
        <w:t>án</w:t>
      </w:r>
      <w:r w:rsidR="00097197" w:rsidRPr="00097197">
        <w:rPr>
          <w:rFonts w:ascii="Arial" w:hAnsi="Arial" w:cs="Arial"/>
          <w:sz w:val="24"/>
        </w:rPr>
        <w:t xml:space="preserve"> programas conjuntos de actualización y educación continua para los profesionales de la salud.</w:t>
      </w:r>
      <w:r>
        <w:rPr>
          <w:rFonts w:ascii="Arial" w:hAnsi="Arial" w:cs="Arial"/>
          <w:sz w:val="24"/>
        </w:rPr>
        <w:t xml:space="preserve"> </w:t>
      </w:r>
    </w:p>
    <w:p w14:paraId="0E490668" w14:textId="77777777" w:rsidR="00F02B26" w:rsidRPr="00F02B26" w:rsidRDefault="00F02B26" w:rsidP="00097197">
      <w:pPr>
        <w:autoSpaceDN/>
        <w:jc w:val="both"/>
        <w:rPr>
          <w:rFonts w:ascii="Arial" w:hAnsi="Arial" w:cs="Arial"/>
          <w:sz w:val="16"/>
          <w:szCs w:val="16"/>
        </w:rPr>
      </w:pPr>
    </w:p>
    <w:p w14:paraId="7EE0BE4D" w14:textId="2E4DC001" w:rsidR="00A86623" w:rsidRDefault="004F6182" w:rsidP="00F02B26">
      <w:pPr>
        <w:autoSpaceDN/>
        <w:jc w:val="both"/>
        <w:rPr>
          <w:rFonts w:ascii="Arial" w:hAnsi="Arial" w:cs="Arial"/>
          <w:sz w:val="24"/>
        </w:rPr>
      </w:pPr>
      <w:r>
        <w:rPr>
          <w:rFonts w:ascii="Arial" w:hAnsi="Arial" w:cs="Arial"/>
          <w:sz w:val="24"/>
        </w:rPr>
        <w:t>“</w:t>
      </w:r>
      <w:r w:rsidR="00097197" w:rsidRPr="00097197">
        <w:rPr>
          <w:rFonts w:ascii="Arial" w:hAnsi="Arial" w:cs="Arial"/>
          <w:sz w:val="24"/>
        </w:rPr>
        <w:t>Estamos muy contentos por est</w:t>
      </w:r>
      <w:r w:rsidR="00564D56">
        <w:rPr>
          <w:rFonts w:ascii="Arial" w:hAnsi="Arial" w:cs="Arial"/>
          <w:sz w:val="24"/>
        </w:rPr>
        <w:t>os</w:t>
      </w:r>
      <w:r w:rsidR="00097197" w:rsidRPr="00097197">
        <w:rPr>
          <w:rFonts w:ascii="Arial" w:hAnsi="Arial" w:cs="Arial"/>
          <w:sz w:val="24"/>
        </w:rPr>
        <w:t xml:space="preserve"> convenio</w:t>
      </w:r>
      <w:r w:rsidR="00564D56">
        <w:rPr>
          <w:rFonts w:ascii="Arial" w:hAnsi="Arial" w:cs="Arial"/>
          <w:sz w:val="24"/>
        </w:rPr>
        <w:t>s</w:t>
      </w:r>
      <w:r w:rsidR="00097197" w:rsidRPr="00097197">
        <w:rPr>
          <w:rFonts w:ascii="Arial" w:hAnsi="Arial" w:cs="Arial"/>
          <w:sz w:val="24"/>
        </w:rPr>
        <w:t xml:space="preserve"> que nos da nuevas oportunidades para los estudiantes y para los egresados a través de los programas de actualización profesional y de educación continua</w:t>
      </w:r>
      <w:r>
        <w:rPr>
          <w:rFonts w:ascii="Arial" w:hAnsi="Arial" w:cs="Arial"/>
          <w:sz w:val="24"/>
        </w:rPr>
        <w:t>”</w:t>
      </w:r>
      <w:r w:rsidR="00F02B26">
        <w:rPr>
          <w:rFonts w:ascii="Arial" w:hAnsi="Arial" w:cs="Arial"/>
          <w:sz w:val="24"/>
        </w:rPr>
        <w:t>, manifestó el secretario general.</w:t>
      </w:r>
    </w:p>
    <w:p w14:paraId="27417E44" w14:textId="1695B712" w:rsidR="00564D56" w:rsidRPr="00564D56" w:rsidRDefault="00564D56" w:rsidP="00F02B26">
      <w:pPr>
        <w:autoSpaceDN/>
        <w:jc w:val="both"/>
        <w:rPr>
          <w:rFonts w:ascii="Arial" w:hAnsi="Arial" w:cs="Arial"/>
          <w:sz w:val="16"/>
          <w:szCs w:val="16"/>
        </w:rPr>
      </w:pPr>
    </w:p>
    <w:p w14:paraId="5DC966B6" w14:textId="2FB1B018" w:rsidR="00FD6EA8" w:rsidRPr="00AB41DC" w:rsidRDefault="00564D56" w:rsidP="00564D56">
      <w:pPr>
        <w:autoSpaceDN/>
        <w:jc w:val="both"/>
        <w:rPr>
          <w:rFonts w:ascii="Arial" w:hAnsi="Arial" w:cs="Arial"/>
          <w:color w:val="FFFFFF" w:themeColor="background1"/>
          <w:sz w:val="16"/>
          <w:szCs w:val="24"/>
        </w:rPr>
      </w:pPr>
      <w:r>
        <w:rPr>
          <w:rFonts w:ascii="Arial" w:hAnsi="Arial" w:cs="Arial"/>
          <w:sz w:val="24"/>
        </w:rPr>
        <w:t>Las unidades académicas que entran en los convenios específicos son: del Campus Ensenada, la Escuela de Ciencias de la Salud; del Campus Mexicali las facultades de Odontología, Medicina y Enfermería, mientras que del Campus Tijuana son las facultades de Odontología, Medicina y Psicología, Ciencias Químicas e Ingeniería, así como Ciencias de la Salud Valle de las Palmas.</w:t>
      </w:r>
      <w:bookmarkStart w:id="0" w:name="_GoBack"/>
      <w:bookmarkEnd w:id="0"/>
    </w:p>
    <w:sectPr w:rsidR="00FD6EA8" w:rsidRPr="00AB41DC" w:rsidSect="00FE0723">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430CF" w14:textId="77777777" w:rsidR="00900E72" w:rsidRDefault="00900E72">
      <w:r>
        <w:separator/>
      </w:r>
    </w:p>
  </w:endnote>
  <w:endnote w:type="continuationSeparator" w:id="0">
    <w:p w14:paraId="2A4B60B0" w14:textId="77777777" w:rsidR="00900E72" w:rsidRDefault="0090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5DC89" w14:textId="77777777" w:rsidR="00900E72" w:rsidRDefault="00900E72">
      <w:r>
        <w:rPr>
          <w:color w:val="000000"/>
        </w:rPr>
        <w:separator/>
      </w:r>
    </w:p>
  </w:footnote>
  <w:footnote w:type="continuationSeparator" w:id="0">
    <w:p w14:paraId="7D2E8AB2" w14:textId="77777777" w:rsidR="00900E72" w:rsidRDefault="00900E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44F31CA"/>
    <w:multiLevelType w:val="hybridMultilevel"/>
    <w:tmpl w:val="2B6E7DE4"/>
    <w:lvl w:ilvl="0" w:tplc="33627E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2B156EBE"/>
    <w:multiLevelType w:val="hybridMultilevel"/>
    <w:tmpl w:val="70F87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E04BFA"/>
    <w:multiLevelType w:val="hybridMultilevel"/>
    <w:tmpl w:val="D36EA2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E592653"/>
    <w:multiLevelType w:val="hybridMultilevel"/>
    <w:tmpl w:val="B48255F6"/>
    <w:lvl w:ilvl="0" w:tplc="3466944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7" w15:restartNumberingAfterBreak="0">
    <w:nsid w:val="498B2E6D"/>
    <w:multiLevelType w:val="hybridMultilevel"/>
    <w:tmpl w:val="ABA8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2"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22"/>
  </w:num>
  <w:num w:numId="4">
    <w:abstractNumId w:val="12"/>
  </w:num>
  <w:num w:numId="5">
    <w:abstractNumId w:val="21"/>
  </w:num>
  <w:num w:numId="6">
    <w:abstractNumId w:val="8"/>
  </w:num>
  <w:num w:numId="7">
    <w:abstractNumId w:val="1"/>
  </w:num>
  <w:num w:numId="8">
    <w:abstractNumId w:val="4"/>
  </w:num>
  <w:num w:numId="9">
    <w:abstractNumId w:val="3"/>
  </w:num>
  <w:num w:numId="10">
    <w:abstractNumId w:val="31"/>
  </w:num>
  <w:num w:numId="11">
    <w:abstractNumId w:val="13"/>
  </w:num>
  <w:num w:numId="12">
    <w:abstractNumId w:val="6"/>
  </w:num>
  <w:num w:numId="13">
    <w:abstractNumId w:val="14"/>
  </w:num>
  <w:num w:numId="14">
    <w:abstractNumId w:val="26"/>
  </w:num>
  <w:num w:numId="15">
    <w:abstractNumId w:val="16"/>
  </w:num>
  <w:num w:numId="16">
    <w:abstractNumId w:val="33"/>
  </w:num>
  <w:num w:numId="17">
    <w:abstractNumId w:val="15"/>
  </w:num>
  <w:num w:numId="18">
    <w:abstractNumId w:val="24"/>
  </w:num>
  <w:num w:numId="19">
    <w:abstractNumId w:val="0"/>
  </w:num>
  <w:num w:numId="20">
    <w:abstractNumId w:val="20"/>
  </w:num>
  <w:num w:numId="21">
    <w:abstractNumId w:val="25"/>
  </w:num>
  <w:num w:numId="22">
    <w:abstractNumId w:val="29"/>
  </w:num>
  <w:num w:numId="23">
    <w:abstractNumId w:val="25"/>
  </w:num>
  <w:num w:numId="24">
    <w:abstractNumId w:val="17"/>
  </w:num>
  <w:num w:numId="25">
    <w:abstractNumId w:val="2"/>
  </w:num>
  <w:num w:numId="26">
    <w:abstractNumId w:val="9"/>
  </w:num>
  <w:num w:numId="27">
    <w:abstractNumId w:val="18"/>
  </w:num>
  <w:num w:numId="28">
    <w:abstractNumId w:val="30"/>
  </w:num>
  <w:num w:numId="29">
    <w:abstractNumId w:val="19"/>
  </w:num>
  <w:num w:numId="30">
    <w:abstractNumId w:val="11"/>
  </w:num>
  <w:num w:numId="31">
    <w:abstractNumId w:val="23"/>
  </w:num>
  <w:num w:numId="32">
    <w:abstractNumId w:val="5"/>
  </w:num>
  <w:num w:numId="33">
    <w:abstractNumId w:val="27"/>
  </w:num>
  <w:num w:numId="34">
    <w:abstractNumId w:val="10"/>
  </w:num>
  <w:num w:numId="3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82E"/>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77"/>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F4F"/>
    <w:rsid w:val="00177211"/>
    <w:rsid w:val="00177299"/>
    <w:rsid w:val="00177A05"/>
    <w:rsid w:val="00177E97"/>
    <w:rsid w:val="00177F95"/>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0CC"/>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115"/>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5E9"/>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2EC4"/>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F5B"/>
    <w:rsid w:val="00505099"/>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4D56"/>
    <w:rsid w:val="00565BFD"/>
    <w:rsid w:val="00566545"/>
    <w:rsid w:val="0056680F"/>
    <w:rsid w:val="00566AAD"/>
    <w:rsid w:val="00566B0C"/>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0AE"/>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90"/>
    <w:rsid w:val="00912AF7"/>
    <w:rsid w:val="00912C44"/>
    <w:rsid w:val="00912C58"/>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81A"/>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6EF"/>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8C9"/>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A"/>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E3E"/>
    <w:rsid w:val="00D57108"/>
    <w:rsid w:val="00D57410"/>
    <w:rsid w:val="00D578F9"/>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128040885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349792869">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1959600869">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577980380">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9F9A3-7DB9-4F7B-BCFE-E70D5870D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541</Words>
  <Characters>2978</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9</cp:revision>
  <cp:lastPrinted>2020-02-29T01:01:00Z</cp:lastPrinted>
  <dcterms:created xsi:type="dcterms:W3CDTF">2021-08-06T20:25:00Z</dcterms:created>
  <dcterms:modified xsi:type="dcterms:W3CDTF">2021-08-06T22:40:00Z</dcterms:modified>
</cp:coreProperties>
</file>