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198B4C41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073174">
        <w:rPr>
          <w:rFonts w:ascii="Arial" w:hAnsi="Arial" w:cs="Arial"/>
          <w:b/>
          <w:sz w:val="24"/>
          <w:szCs w:val="24"/>
        </w:rPr>
        <w:t>3</w:t>
      </w:r>
      <w:r w:rsidR="00801E6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1C982E9" w14:textId="77777777" w:rsidR="00801E61" w:rsidRPr="00801E61" w:rsidRDefault="00801E61" w:rsidP="00801E61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1B849E9" w14:textId="77777777" w:rsidR="00801E61" w:rsidRPr="00801E61" w:rsidRDefault="00801E61" w:rsidP="00801E61">
      <w:pPr>
        <w:suppressAutoHyphens w:val="0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801E61">
        <w:rPr>
          <w:rFonts w:ascii="Arial" w:hAnsi="Arial" w:cs="Arial"/>
          <w:b/>
          <w:bCs/>
          <w:color w:val="000000"/>
          <w:sz w:val="36"/>
          <w:szCs w:val="24"/>
        </w:rPr>
        <w:t>Suman 23</w:t>
      </w:r>
      <w:r w:rsidRPr="00801E61">
        <w:rPr>
          <w:rFonts w:ascii="Arial" w:hAnsi="Arial" w:cs="Arial"/>
          <w:b/>
          <w:color w:val="000000"/>
          <w:sz w:val="36"/>
          <w:szCs w:val="24"/>
        </w:rPr>
        <w:t xml:space="preserve"> las invenciones otorgadas a la UABC</w:t>
      </w:r>
    </w:p>
    <w:p w14:paraId="3339B53C" w14:textId="77777777" w:rsidR="007A4800" w:rsidRPr="007333E1" w:rsidRDefault="007A4800" w:rsidP="00801E61">
      <w:pPr>
        <w:suppressAutoHyphens w:val="0"/>
        <w:autoSpaceDN/>
        <w:jc w:val="both"/>
        <w:textAlignment w:val="auto"/>
        <w:rPr>
          <w:rFonts w:ascii="Arial" w:hAnsi="Arial" w:cs="Arial"/>
          <w:sz w:val="12"/>
          <w:szCs w:val="12"/>
        </w:rPr>
      </w:pPr>
    </w:p>
    <w:p w14:paraId="45F86535" w14:textId="176E797C" w:rsidR="00801E61" w:rsidRDefault="00842A32" w:rsidP="007A4800">
      <w:pPr>
        <w:pStyle w:val="Prrafodelista"/>
        <w:numPr>
          <w:ilvl w:val="0"/>
          <w:numId w:val="48"/>
        </w:numPr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Esto garantiza la protección del conocimiento para ser difundido y transferido</w:t>
      </w:r>
      <w:r w:rsidR="007A4800">
        <w:rPr>
          <w:rFonts w:ascii="Arial" w:hAnsi="Arial" w:cs="Arial"/>
          <w:sz w:val="24"/>
          <w:szCs w:val="24"/>
        </w:rPr>
        <w:t>.</w:t>
      </w:r>
    </w:p>
    <w:p w14:paraId="4D1F1324" w14:textId="77777777" w:rsidR="007A4800" w:rsidRPr="007A4800" w:rsidRDefault="007A4800" w:rsidP="007A4800">
      <w:pPr>
        <w:pStyle w:val="Prrafodelista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6DFDD5B" w14:textId="58629672" w:rsidR="001101AA" w:rsidRDefault="005F784F" w:rsidP="007A4800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5F784F">
        <w:rPr>
          <w:rFonts w:ascii="Arial" w:hAnsi="Arial" w:cs="Arial"/>
          <w:b/>
          <w:bCs/>
          <w:sz w:val="24"/>
          <w:szCs w:val="24"/>
        </w:rPr>
        <w:t>Mexicali, Baja California, martes 8 de marzo de 2022</w:t>
      </w:r>
      <w:r>
        <w:rPr>
          <w:rFonts w:ascii="Arial" w:hAnsi="Arial" w:cs="Arial"/>
          <w:bCs/>
          <w:sz w:val="24"/>
          <w:szCs w:val="24"/>
        </w:rPr>
        <w:t xml:space="preserve">.- </w:t>
      </w:r>
      <w:r w:rsidR="001101AA" w:rsidRPr="0000206D">
        <w:rPr>
          <w:rFonts w:ascii="Arial" w:hAnsi="Arial" w:cs="Arial"/>
          <w:bCs/>
          <w:sz w:val="24"/>
          <w:szCs w:val="24"/>
        </w:rPr>
        <w:t xml:space="preserve">El Instituto Mexicano de la Propiedad Industrial (IMPI), otorgó </w:t>
      </w:r>
      <w:r w:rsidR="00F26D33">
        <w:rPr>
          <w:rFonts w:ascii="Arial" w:hAnsi="Arial" w:cs="Arial"/>
          <w:bCs/>
          <w:sz w:val="24"/>
          <w:szCs w:val="24"/>
        </w:rPr>
        <w:t xml:space="preserve">dos nuevas invenciones a la Universidad Autónoma de Baja California (UABC), logrando que esta casa de estudios cuente con un total de </w:t>
      </w:r>
      <w:r w:rsidR="001101AA">
        <w:rPr>
          <w:rFonts w:ascii="Arial" w:hAnsi="Arial" w:cs="Arial"/>
          <w:bCs/>
          <w:sz w:val="24"/>
          <w:szCs w:val="24"/>
        </w:rPr>
        <w:t xml:space="preserve">23 invenciones provenientes de distintas unidades académicas de los tres campus universitarios. </w:t>
      </w:r>
    </w:p>
    <w:p w14:paraId="379ABCB3" w14:textId="77777777" w:rsidR="001101AA" w:rsidRPr="00534E1D" w:rsidRDefault="001101AA" w:rsidP="007A4800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14:paraId="6696F169" w14:textId="0B313BDB" w:rsidR="00801E61" w:rsidRPr="005F784F" w:rsidRDefault="005F784F" w:rsidP="007A4800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F784F">
        <w:rPr>
          <w:rFonts w:ascii="Arial" w:hAnsi="Arial" w:cs="Arial"/>
          <w:bCs/>
          <w:iCs/>
          <w:sz w:val="24"/>
          <w:szCs w:val="24"/>
        </w:rPr>
        <w:t>La invención del</w:t>
      </w:r>
      <w:r w:rsidR="00801E61" w:rsidRPr="005F784F">
        <w:rPr>
          <w:rFonts w:ascii="Arial" w:hAnsi="Arial" w:cs="Arial"/>
          <w:sz w:val="24"/>
          <w:szCs w:val="24"/>
        </w:rPr>
        <w:t xml:space="preserve"> </w:t>
      </w:r>
      <w:r w:rsidRPr="005F784F">
        <w:rPr>
          <w:rFonts w:ascii="Arial" w:hAnsi="Arial" w:cs="Arial"/>
          <w:sz w:val="24"/>
          <w:szCs w:val="24"/>
        </w:rPr>
        <w:t>doctor</w:t>
      </w:r>
      <w:r w:rsidR="00801E61" w:rsidRPr="005F784F">
        <w:rPr>
          <w:rFonts w:ascii="Arial" w:hAnsi="Arial" w:cs="Arial"/>
          <w:sz w:val="24"/>
          <w:szCs w:val="24"/>
        </w:rPr>
        <w:t xml:space="preserve"> Xavier Flores Vidal y el </w:t>
      </w:r>
      <w:r w:rsidRPr="005F784F">
        <w:rPr>
          <w:rFonts w:ascii="Arial" w:hAnsi="Arial" w:cs="Arial"/>
          <w:sz w:val="24"/>
          <w:szCs w:val="24"/>
        </w:rPr>
        <w:t>ingeniero</w:t>
      </w:r>
      <w:r w:rsidR="00801E61" w:rsidRPr="005F784F">
        <w:rPr>
          <w:rFonts w:ascii="Arial" w:hAnsi="Arial" w:cs="Arial"/>
          <w:sz w:val="24"/>
          <w:szCs w:val="24"/>
        </w:rPr>
        <w:t xml:space="preserve"> Andrés Sandoval Rangel del Instituto de Investigaciones </w:t>
      </w:r>
      <w:proofErr w:type="spellStart"/>
      <w:r w:rsidR="00801E61" w:rsidRPr="005F784F">
        <w:rPr>
          <w:rFonts w:ascii="Arial" w:hAnsi="Arial" w:cs="Arial"/>
          <w:sz w:val="24"/>
          <w:szCs w:val="24"/>
        </w:rPr>
        <w:t>Oceanológicas</w:t>
      </w:r>
      <w:proofErr w:type="spellEnd"/>
      <w:r w:rsidRPr="005F784F">
        <w:rPr>
          <w:rFonts w:ascii="Arial" w:hAnsi="Arial" w:cs="Arial"/>
          <w:sz w:val="24"/>
          <w:szCs w:val="24"/>
        </w:rPr>
        <w:t xml:space="preserve">, </w:t>
      </w:r>
      <w:r w:rsidR="00801E61" w:rsidRPr="005F784F">
        <w:rPr>
          <w:rFonts w:ascii="Arial" w:hAnsi="Arial" w:cs="Arial"/>
          <w:sz w:val="24"/>
          <w:szCs w:val="24"/>
        </w:rPr>
        <w:t>Campus Ensenada, se sitúa específicamente en lo referente a instrumentos oceanográficos</w:t>
      </w:r>
      <w:r w:rsidR="00266754">
        <w:rPr>
          <w:rFonts w:ascii="Arial" w:hAnsi="Arial" w:cs="Arial"/>
          <w:sz w:val="24"/>
          <w:szCs w:val="24"/>
        </w:rPr>
        <w:t xml:space="preserve"> (</w:t>
      </w:r>
      <w:r w:rsidR="00266754" w:rsidRPr="005F784F">
        <w:rPr>
          <w:rFonts w:ascii="Arial" w:hAnsi="Arial" w:cs="Arial"/>
          <w:sz w:val="24"/>
          <w:szCs w:val="24"/>
        </w:rPr>
        <w:t>como las boyas de deriva</w:t>
      </w:r>
      <w:r w:rsidR="00266754">
        <w:rPr>
          <w:rFonts w:ascii="Arial" w:hAnsi="Arial" w:cs="Arial"/>
          <w:sz w:val="24"/>
          <w:szCs w:val="24"/>
        </w:rPr>
        <w:t>),</w:t>
      </w:r>
      <w:r w:rsidR="00E41662">
        <w:rPr>
          <w:rFonts w:ascii="Arial" w:hAnsi="Arial" w:cs="Arial"/>
          <w:sz w:val="24"/>
          <w:szCs w:val="24"/>
        </w:rPr>
        <w:t xml:space="preserve"> que permite</w:t>
      </w:r>
      <w:r w:rsidR="00801E61" w:rsidRPr="005F784F">
        <w:rPr>
          <w:rFonts w:ascii="Arial" w:hAnsi="Arial" w:cs="Arial"/>
          <w:sz w:val="24"/>
          <w:szCs w:val="24"/>
        </w:rPr>
        <w:t>n recolectar datos de manera confiable, rápida y sostenida</w:t>
      </w:r>
      <w:r w:rsidR="00266754">
        <w:rPr>
          <w:rFonts w:ascii="Arial" w:hAnsi="Arial" w:cs="Arial"/>
          <w:sz w:val="24"/>
          <w:szCs w:val="24"/>
        </w:rPr>
        <w:t>,</w:t>
      </w:r>
      <w:r w:rsidR="00801E61" w:rsidRPr="005F784F">
        <w:rPr>
          <w:rFonts w:ascii="Arial" w:hAnsi="Arial" w:cs="Arial"/>
          <w:sz w:val="24"/>
          <w:szCs w:val="24"/>
        </w:rPr>
        <w:t xml:space="preserve"> a fin de conocer, investigar, administrar y preservar los recursos marinos. La invención describe una draga flex</w:t>
      </w:r>
      <w:r w:rsidRPr="005F784F">
        <w:rPr>
          <w:rFonts w:ascii="Arial" w:hAnsi="Arial" w:cs="Arial"/>
          <w:sz w:val="24"/>
          <w:szCs w:val="24"/>
        </w:rPr>
        <w:t>ible de arrastre sub</w:t>
      </w:r>
      <w:r w:rsidR="00534E1D">
        <w:rPr>
          <w:rFonts w:ascii="Arial" w:hAnsi="Arial" w:cs="Arial"/>
          <w:sz w:val="24"/>
          <w:szCs w:val="24"/>
        </w:rPr>
        <w:t>-</w:t>
      </w:r>
      <w:r w:rsidRPr="005F784F">
        <w:rPr>
          <w:rFonts w:ascii="Arial" w:hAnsi="Arial" w:cs="Arial"/>
          <w:sz w:val="24"/>
          <w:szCs w:val="24"/>
        </w:rPr>
        <w:t>superficial</w:t>
      </w:r>
      <w:r w:rsidR="00801E61" w:rsidRPr="005F784F">
        <w:rPr>
          <w:rFonts w:ascii="Arial" w:hAnsi="Arial" w:cs="Arial"/>
          <w:sz w:val="24"/>
          <w:szCs w:val="24"/>
        </w:rPr>
        <w:t xml:space="preserve"> que puede</w:t>
      </w:r>
      <w:r w:rsidRPr="005F784F">
        <w:rPr>
          <w:rFonts w:ascii="Arial" w:hAnsi="Arial" w:cs="Arial"/>
          <w:sz w:val="24"/>
          <w:szCs w:val="24"/>
        </w:rPr>
        <w:t xml:space="preserve"> </w:t>
      </w:r>
      <w:r w:rsidR="00801E61" w:rsidRPr="005F784F">
        <w:rPr>
          <w:rFonts w:ascii="Arial" w:hAnsi="Arial" w:cs="Arial"/>
          <w:sz w:val="24"/>
          <w:szCs w:val="24"/>
        </w:rPr>
        <w:t>interactuar de forma dinámica con las corrientes marinas y</w:t>
      </w:r>
      <w:r w:rsidRPr="005F784F">
        <w:rPr>
          <w:rFonts w:ascii="Arial" w:hAnsi="Arial" w:cs="Arial"/>
          <w:sz w:val="24"/>
          <w:szCs w:val="24"/>
        </w:rPr>
        <w:t>,</w:t>
      </w:r>
      <w:r w:rsidR="00801E61" w:rsidRPr="005F784F">
        <w:rPr>
          <w:rFonts w:ascii="Arial" w:hAnsi="Arial" w:cs="Arial"/>
          <w:sz w:val="24"/>
          <w:szCs w:val="24"/>
        </w:rPr>
        <w:t xml:space="preserve"> a la vez</w:t>
      </w:r>
      <w:r w:rsidRPr="005F784F">
        <w:rPr>
          <w:rFonts w:ascii="Arial" w:hAnsi="Arial" w:cs="Arial"/>
          <w:sz w:val="24"/>
          <w:szCs w:val="24"/>
        </w:rPr>
        <w:t>,</w:t>
      </w:r>
      <w:r w:rsidR="00801E61" w:rsidRPr="005F784F">
        <w:rPr>
          <w:rFonts w:ascii="Arial" w:hAnsi="Arial" w:cs="Arial"/>
          <w:sz w:val="24"/>
          <w:szCs w:val="24"/>
        </w:rPr>
        <w:t xml:space="preserve"> minimizar la acción del viento sobre los instrumentos de flotación a los que se une.</w:t>
      </w:r>
    </w:p>
    <w:p w14:paraId="47B82648" w14:textId="77777777" w:rsidR="00801E61" w:rsidRPr="00534E1D" w:rsidRDefault="00801E61" w:rsidP="007A4800">
      <w:pPr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7EA16986" w14:textId="40C964FD" w:rsidR="00801E61" w:rsidRPr="00534E1D" w:rsidRDefault="00DE7CE3" w:rsidP="007A4800">
      <w:pPr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534E1D">
        <w:rPr>
          <w:rFonts w:ascii="Arial" w:hAnsi="Arial" w:cs="Arial"/>
          <w:bCs/>
          <w:iCs/>
          <w:spacing w:val="-2"/>
          <w:sz w:val="24"/>
          <w:szCs w:val="24"/>
        </w:rPr>
        <w:t>Por su parte, los doctores</w:t>
      </w:r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801E61" w:rsidRPr="00534E1D">
        <w:rPr>
          <w:rFonts w:ascii="Arial" w:hAnsi="Arial" w:cs="Arial"/>
          <w:spacing w:val="-2"/>
          <w:sz w:val="24"/>
          <w:szCs w:val="24"/>
        </w:rPr>
        <w:t>Roumen</w:t>
      </w:r>
      <w:proofErr w:type="spellEnd"/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801E61" w:rsidRPr="00534E1D">
        <w:rPr>
          <w:rFonts w:ascii="Arial" w:hAnsi="Arial" w:cs="Arial"/>
          <w:spacing w:val="-2"/>
          <w:sz w:val="24"/>
          <w:szCs w:val="24"/>
        </w:rPr>
        <w:t>Koytchev</w:t>
      </w:r>
      <w:proofErr w:type="spellEnd"/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801E61" w:rsidRPr="00534E1D">
        <w:rPr>
          <w:rFonts w:ascii="Arial" w:hAnsi="Arial" w:cs="Arial"/>
          <w:spacing w:val="-2"/>
          <w:sz w:val="24"/>
          <w:szCs w:val="24"/>
        </w:rPr>
        <w:t>Zlatev</w:t>
      </w:r>
      <w:proofErr w:type="spellEnd"/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, Margarita </w:t>
      </w:r>
      <w:proofErr w:type="spellStart"/>
      <w:r w:rsidR="00801E61" w:rsidRPr="00534E1D">
        <w:rPr>
          <w:rFonts w:ascii="Arial" w:hAnsi="Arial" w:cs="Arial"/>
          <w:spacing w:val="-2"/>
          <w:sz w:val="24"/>
          <w:szCs w:val="24"/>
        </w:rPr>
        <w:t>Stilianova</w:t>
      </w:r>
      <w:proofErr w:type="spellEnd"/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801E61" w:rsidRPr="00534E1D">
        <w:rPr>
          <w:rFonts w:ascii="Arial" w:hAnsi="Arial" w:cs="Arial"/>
          <w:spacing w:val="-2"/>
          <w:sz w:val="24"/>
          <w:szCs w:val="24"/>
        </w:rPr>
        <w:t>Stoytcheva</w:t>
      </w:r>
      <w:proofErr w:type="spellEnd"/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 y Benjamín Valdez Salas del Instituto de Ingeniería</w:t>
      </w:r>
      <w:r w:rsidRPr="00534E1D">
        <w:rPr>
          <w:rFonts w:ascii="Arial" w:hAnsi="Arial" w:cs="Arial"/>
          <w:spacing w:val="-2"/>
          <w:sz w:val="24"/>
          <w:szCs w:val="24"/>
        </w:rPr>
        <w:t xml:space="preserve">, </w:t>
      </w:r>
      <w:r w:rsidR="00801E61" w:rsidRPr="00534E1D">
        <w:rPr>
          <w:rFonts w:ascii="Arial" w:hAnsi="Arial" w:cs="Arial"/>
          <w:spacing w:val="-2"/>
          <w:sz w:val="24"/>
          <w:szCs w:val="24"/>
        </w:rPr>
        <w:t>Campus Mexicali, </w:t>
      </w:r>
      <w:r w:rsidR="00A300EC" w:rsidRPr="00534E1D">
        <w:rPr>
          <w:rFonts w:ascii="Arial" w:hAnsi="Arial" w:cs="Arial"/>
          <w:spacing w:val="-2"/>
          <w:sz w:val="24"/>
          <w:szCs w:val="24"/>
        </w:rPr>
        <w:t>lograron la invención</w:t>
      </w:r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 que refiere un método analítico simple para la determinación de peróxido de hidrógeno (H</w:t>
      </w:r>
      <w:r w:rsidR="00801E61" w:rsidRPr="00534E1D">
        <w:rPr>
          <w:rFonts w:ascii="Arial" w:hAnsi="Arial" w:cs="Arial"/>
          <w:spacing w:val="-2"/>
          <w:sz w:val="24"/>
          <w:szCs w:val="24"/>
          <w:vertAlign w:val="subscript"/>
        </w:rPr>
        <w:t>2</w:t>
      </w:r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O2) que </w:t>
      </w:r>
      <w:r w:rsidR="002B4366">
        <w:rPr>
          <w:rFonts w:ascii="Arial" w:hAnsi="Arial" w:cs="Arial"/>
          <w:spacing w:val="-2"/>
          <w:sz w:val="24"/>
          <w:szCs w:val="24"/>
        </w:rPr>
        <w:t>se realiza</w:t>
      </w:r>
      <w:r w:rsidR="00E41662">
        <w:rPr>
          <w:rFonts w:ascii="Arial" w:hAnsi="Arial" w:cs="Arial"/>
          <w:spacing w:val="-2"/>
          <w:sz w:val="24"/>
          <w:szCs w:val="24"/>
        </w:rPr>
        <w:t xml:space="preserve"> </w:t>
      </w:r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de manera manual o automática y </w:t>
      </w:r>
      <w:bookmarkStart w:id="0" w:name="_GoBack"/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que </w:t>
      </w:r>
      <w:bookmarkEnd w:id="0"/>
      <w:r w:rsidR="00801E61" w:rsidRPr="00534E1D">
        <w:rPr>
          <w:rFonts w:ascii="Arial" w:hAnsi="Arial" w:cs="Arial"/>
          <w:spacing w:val="-2"/>
          <w:sz w:val="24"/>
          <w:szCs w:val="24"/>
        </w:rPr>
        <w:t>no emplea reactivos químicos</w:t>
      </w:r>
      <w:r w:rsidR="00534E1D" w:rsidRPr="00534E1D">
        <w:rPr>
          <w:rFonts w:ascii="Arial" w:hAnsi="Arial" w:cs="Arial"/>
          <w:spacing w:val="-2"/>
          <w:sz w:val="24"/>
          <w:szCs w:val="24"/>
        </w:rPr>
        <w:t>. Con ella se pueden</w:t>
      </w:r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 solventar las desventajas de los métodos existentes en la industria de los semiconductores, los cuales, debido a su complejidad, no permite</w:t>
      </w:r>
      <w:r w:rsidR="00E41662">
        <w:rPr>
          <w:rFonts w:ascii="Arial" w:hAnsi="Arial" w:cs="Arial"/>
          <w:spacing w:val="-2"/>
          <w:sz w:val="24"/>
          <w:szCs w:val="24"/>
        </w:rPr>
        <w:t>n</w:t>
      </w:r>
      <w:r w:rsidR="00801E61" w:rsidRPr="00534E1D">
        <w:rPr>
          <w:rFonts w:ascii="Arial" w:hAnsi="Arial" w:cs="Arial"/>
          <w:spacing w:val="-2"/>
          <w:sz w:val="24"/>
          <w:szCs w:val="24"/>
        </w:rPr>
        <w:t xml:space="preserve"> su aplicación de forma automática.</w:t>
      </w:r>
    </w:p>
    <w:p w14:paraId="26ABD548" w14:textId="77777777" w:rsidR="00DE7CE3" w:rsidRPr="00C339D7" w:rsidRDefault="00DE7CE3" w:rsidP="007A4800">
      <w:pPr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2D227A6C" w14:textId="45D26D66" w:rsidR="00C339D7" w:rsidRPr="00C339D7" w:rsidRDefault="00C339D7" w:rsidP="007A4800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C339D7">
        <w:rPr>
          <w:rFonts w:ascii="Arial" w:hAnsi="Arial" w:cs="Arial"/>
          <w:sz w:val="24"/>
          <w:szCs w:val="24"/>
        </w:rPr>
        <w:t>Estas</w:t>
      </w:r>
      <w:r w:rsidR="007A4800">
        <w:rPr>
          <w:rFonts w:ascii="Arial" w:hAnsi="Arial" w:cs="Arial"/>
          <w:sz w:val="24"/>
          <w:szCs w:val="24"/>
        </w:rPr>
        <w:t xml:space="preserve"> dos</w:t>
      </w:r>
      <w:r w:rsidRPr="00C339D7">
        <w:rPr>
          <w:rFonts w:ascii="Arial" w:hAnsi="Arial" w:cs="Arial"/>
          <w:sz w:val="24"/>
          <w:szCs w:val="24"/>
        </w:rPr>
        <w:t xml:space="preserve"> nuevas figuras jurídicas </w:t>
      </w:r>
      <w:r w:rsidR="007A4800">
        <w:rPr>
          <w:rFonts w:ascii="Arial" w:hAnsi="Arial" w:cs="Arial"/>
          <w:sz w:val="24"/>
          <w:szCs w:val="24"/>
        </w:rPr>
        <w:t>se suman a las 21 existentes</w:t>
      </w:r>
      <w:r w:rsidR="00842A32">
        <w:rPr>
          <w:rFonts w:ascii="Arial" w:hAnsi="Arial" w:cs="Arial"/>
          <w:sz w:val="24"/>
          <w:szCs w:val="24"/>
        </w:rPr>
        <w:t>. El propósito es</w:t>
      </w:r>
      <w:r w:rsidRPr="00C339D7">
        <w:rPr>
          <w:rFonts w:ascii="Arial" w:hAnsi="Arial" w:cs="Arial"/>
          <w:sz w:val="24"/>
          <w:szCs w:val="24"/>
        </w:rPr>
        <w:t xml:space="preserve"> difundir y transferir conocimiento que se encuentre protegido, salvaguardando los derechos de propiedad intelectual de los inventores</w:t>
      </w:r>
      <w:r>
        <w:rPr>
          <w:rFonts w:ascii="Arial" w:hAnsi="Arial" w:cs="Arial"/>
          <w:sz w:val="24"/>
          <w:szCs w:val="24"/>
        </w:rPr>
        <w:t xml:space="preserve"> y de la </w:t>
      </w:r>
      <w:r w:rsidRPr="00C339D7">
        <w:rPr>
          <w:rFonts w:ascii="Arial" w:hAnsi="Arial" w:cs="Arial"/>
          <w:sz w:val="24"/>
          <w:szCs w:val="24"/>
        </w:rPr>
        <w:t>Universidad. </w:t>
      </w:r>
    </w:p>
    <w:p w14:paraId="115A43ED" w14:textId="77777777" w:rsidR="00801E61" w:rsidRPr="00C339D7" w:rsidRDefault="00801E61" w:rsidP="007A4800">
      <w:pPr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54A9CAB1" w14:textId="3784F66B" w:rsidR="00A81840" w:rsidRPr="00A81840" w:rsidRDefault="00C339D7" w:rsidP="007A4800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A81840">
        <w:rPr>
          <w:rFonts w:ascii="Arial" w:hAnsi="Arial" w:cs="Arial"/>
          <w:sz w:val="24"/>
          <w:szCs w:val="24"/>
        </w:rPr>
        <w:t>“Estos son productos</w:t>
      </w:r>
      <w:r w:rsidR="00A81840" w:rsidRPr="00A81840">
        <w:rPr>
          <w:rFonts w:ascii="Arial" w:hAnsi="Arial" w:cs="Arial"/>
          <w:sz w:val="24"/>
          <w:szCs w:val="24"/>
        </w:rPr>
        <w:t xml:space="preserve"> del</w:t>
      </w:r>
      <w:r w:rsidRPr="00A81840">
        <w:rPr>
          <w:rFonts w:ascii="Arial" w:hAnsi="Arial" w:cs="Arial"/>
          <w:sz w:val="24"/>
          <w:szCs w:val="24"/>
        </w:rPr>
        <w:t xml:space="preserve"> resultado de investigación que además se encuentran en un nivel de madurez tecnológico importante porque ambos han sido probados en ambiente real y han validado su funcionamiento, por lo que se trata de desarrollos listos para aplicarse</w:t>
      </w:r>
      <w:r w:rsidR="00A81840" w:rsidRPr="00A81840">
        <w:rPr>
          <w:rFonts w:ascii="Arial" w:hAnsi="Arial" w:cs="Arial"/>
          <w:sz w:val="24"/>
          <w:szCs w:val="24"/>
        </w:rPr>
        <w:t xml:space="preserve">”, expresó el doctor Juan Guillermo Vaca Rodríguez, titular de la Coordinación General de Investigación y Posgrado </w:t>
      </w:r>
      <w:r w:rsidR="00A81840">
        <w:rPr>
          <w:rFonts w:ascii="Arial" w:hAnsi="Arial" w:cs="Arial"/>
          <w:sz w:val="24"/>
          <w:szCs w:val="24"/>
        </w:rPr>
        <w:t xml:space="preserve">(CGIP) </w:t>
      </w:r>
      <w:r w:rsidR="00A81840" w:rsidRPr="00A81840">
        <w:rPr>
          <w:rFonts w:ascii="Arial" w:hAnsi="Arial" w:cs="Arial"/>
          <w:sz w:val="24"/>
          <w:szCs w:val="24"/>
        </w:rPr>
        <w:t>de la UABC.</w:t>
      </w:r>
    </w:p>
    <w:p w14:paraId="5BA41EA5" w14:textId="77777777" w:rsidR="00A81840" w:rsidRPr="00A81840" w:rsidRDefault="00A81840" w:rsidP="007A4800">
      <w:pPr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54AA6AC2" w14:textId="02F6652B" w:rsidR="00C339D7" w:rsidRPr="00A81840" w:rsidRDefault="00A81840" w:rsidP="007A4800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A81840">
        <w:rPr>
          <w:rFonts w:ascii="Arial" w:hAnsi="Arial" w:cs="Arial"/>
          <w:sz w:val="24"/>
          <w:szCs w:val="24"/>
        </w:rPr>
        <w:t>Destacó que para la Universidad e</w:t>
      </w:r>
      <w:r w:rsidR="00C339D7" w:rsidRPr="00A81840">
        <w:rPr>
          <w:rFonts w:ascii="Arial" w:hAnsi="Arial" w:cs="Arial"/>
          <w:sz w:val="24"/>
          <w:szCs w:val="24"/>
        </w:rPr>
        <w:t xml:space="preserve">s importante resaltar la diversificación </w:t>
      </w:r>
      <w:r w:rsidRPr="00A81840">
        <w:rPr>
          <w:rFonts w:ascii="Arial" w:hAnsi="Arial" w:cs="Arial"/>
          <w:sz w:val="24"/>
          <w:szCs w:val="24"/>
        </w:rPr>
        <w:t xml:space="preserve">que </w:t>
      </w:r>
      <w:r w:rsidR="00C339D7" w:rsidRPr="00A81840">
        <w:rPr>
          <w:rFonts w:ascii="Arial" w:hAnsi="Arial" w:cs="Arial"/>
          <w:sz w:val="24"/>
          <w:szCs w:val="24"/>
        </w:rPr>
        <w:t>se observa en las figuras que se protegen</w:t>
      </w:r>
      <w:r w:rsidRPr="00A81840">
        <w:rPr>
          <w:rFonts w:ascii="Arial" w:hAnsi="Arial" w:cs="Arial"/>
          <w:sz w:val="24"/>
          <w:szCs w:val="24"/>
        </w:rPr>
        <w:t>. “Ah</w:t>
      </w:r>
      <w:r w:rsidR="00C339D7" w:rsidRPr="00A81840">
        <w:rPr>
          <w:rFonts w:ascii="Arial" w:hAnsi="Arial" w:cs="Arial"/>
          <w:sz w:val="24"/>
          <w:szCs w:val="24"/>
        </w:rPr>
        <w:t>ora no solamente tenemos patentes, hay diseños que provienen de arquitectura, modelos de utilidad de ciencias del mar,</w:t>
      </w:r>
      <w:r w:rsidRPr="00A81840">
        <w:rPr>
          <w:rFonts w:ascii="Arial" w:hAnsi="Arial" w:cs="Arial"/>
          <w:sz w:val="24"/>
          <w:szCs w:val="24"/>
        </w:rPr>
        <w:t xml:space="preserve"> entre otros. A</w:t>
      </w:r>
      <w:r w:rsidR="00C339D7" w:rsidRPr="00A81840">
        <w:rPr>
          <w:rFonts w:ascii="Arial" w:hAnsi="Arial" w:cs="Arial"/>
          <w:sz w:val="24"/>
          <w:szCs w:val="24"/>
        </w:rPr>
        <w:t>provecha</w:t>
      </w:r>
      <w:r w:rsidRPr="00A81840">
        <w:rPr>
          <w:rFonts w:ascii="Arial" w:hAnsi="Arial" w:cs="Arial"/>
          <w:sz w:val="24"/>
          <w:szCs w:val="24"/>
        </w:rPr>
        <w:t>mos</w:t>
      </w:r>
      <w:r w:rsidR="00C339D7" w:rsidRPr="00A81840">
        <w:rPr>
          <w:rFonts w:ascii="Arial" w:hAnsi="Arial" w:cs="Arial"/>
          <w:sz w:val="24"/>
          <w:szCs w:val="24"/>
        </w:rPr>
        <w:t xml:space="preserve"> la oportunidad </w:t>
      </w:r>
      <w:r w:rsidRPr="00A81840">
        <w:rPr>
          <w:rFonts w:ascii="Arial" w:hAnsi="Arial" w:cs="Arial"/>
          <w:sz w:val="24"/>
          <w:szCs w:val="24"/>
        </w:rPr>
        <w:t xml:space="preserve">para que además de </w:t>
      </w:r>
      <w:r w:rsidR="00C339D7" w:rsidRPr="00A81840">
        <w:rPr>
          <w:rFonts w:ascii="Arial" w:hAnsi="Arial" w:cs="Arial"/>
          <w:sz w:val="24"/>
          <w:szCs w:val="24"/>
        </w:rPr>
        <w:t xml:space="preserve">publicar, </w:t>
      </w:r>
      <w:r w:rsidRPr="00A81840">
        <w:rPr>
          <w:rFonts w:ascii="Arial" w:hAnsi="Arial" w:cs="Arial"/>
          <w:sz w:val="24"/>
          <w:szCs w:val="24"/>
        </w:rPr>
        <w:t xml:space="preserve">podamos </w:t>
      </w:r>
      <w:r w:rsidR="00C339D7" w:rsidRPr="00A81840">
        <w:rPr>
          <w:rFonts w:ascii="Arial" w:hAnsi="Arial" w:cs="Arial"/>
          <w:sz w:val="24"/>
          <w:szCs w:val="24"/>
        </w:rPr>
        <w:t xml:space="preserve">proteger </w:t>
      </w:r>
      <w:r w:rsidRPr="00A81840">
        <w:rPr>
          <w:rFonts w:ascii="Arial" w:hAnsi="Arial" w:cs="Arial"/>
          <w:sz w:val="24"/>
          <w:szCs w:val="24"/>
        </w:rPr>
        <w:t>el</w:t>
      </w:r>
      <w:r w:rsidR="00C339D7" w:rsidRPr="00A81840">
        <w:rPr>
          <w:rFonts w:ascii="Arial" w:hAnsi="Arial" w:cs="Arial"/>
          <w:sz w:val="24"/>
          <w:szCs w:val="24"/>
        </w:rPr>
        <w:t xml:space="preserve"> conocimiento y potencialmente transferirlo”, mencionó </w:t>
      </w:r>
      <w:r w:rsidRPr="00A81840">
        <w:rPr>
          <w:rFonts w:ascii="Arial" w:hAnsi="Arial" w:cs="Arial"/>
          <w:sz w:val="24"/>
          <w:szCs w:val="24"/>
        </w:rPr>
        <w:t>el doctor</w:t>
      </w:r>
      <w:r w:rsidR="00C339D7" w:rsidRPr="00A81840">
        <w:rPr>
          <w:rFonts w:ascii="Arial" w:hAnsi="Arial" w:cs="Arial"/>
          <w:sz w:val="24"/>
          <w:szCs w:val="24"/>
        </w:rPr>
        <w:t xml:space="preserve"> Vaca Rodríguez</w:t>
      </w:r>
      <w:r w:rsidRPr="00A81840">
        <w:rPr>
          <w:rFonts w:ascii="Arial" w:hAnsi="Arial" w:cs="Arial"/>
          <w:sz w:val="24"/>
          <w:szCs w:val="24"/>
        </w:rPr>
        <w:t>.</w:t>
      </w:r>
    </w:p>
    <w:p w14:paraId="2D45FB18" w14:textId="1792B5F9" w:rsidR="0005477D" w:rsidRPr="0005477D" w:rsidRDefault="00C339D7" w:rsidP="00A81840">
      <w:pPr>
        <w:autoSpaceDN/>
        <w:jc w:val="both"/>
        <w:textAlignment w:val="auto"/>
        <w:rPr>
          <w:rFonts w:ascii="Arial" w:hAnsi="Arial" w:cs="Arial"/>
          <w:b/>
          <w:bCs/>
          <w:sz w:val="16"/>
          <w:szCs w:val="16"/>
        </w:rPr>
      </w:pPr>
      <w:r w:rsidRPr="00A81840">
        <w:rPr>
          <w:rFonts w:ascii="Arial" w:hAnsi="Arial" w:cs="Arial"/>
          <w:sz w:val="16"/>
          <w:szCs w:val="16"/>
        </w:rPr>
        <w:br/>
      </w:r>
      <w:r w:rsidR="00A81840">
        <w:rPr>
          <w:rFonts w:ascii="Arial" w:hAnsi="Arial" w:cs="Arial"/>
          <w:sz w:val="24"/>
          <w:szCs w:val="24"/>
        </w:rPr>
        <w:t xml:space="preserve">Por su parte, la licenciada </w:t>
      </w:r>
      <w:proofErr w:type="spellStart"/>
      <w:r w:rsidR="00A81840">
        <w:rPr>
          <w:rFonts w:ascii="Arial" w:hAnsi="Arial" w:cs="Arial"/>
          <w:sz w:val="24"/>
          <w:szCs w:val="24"/>
        </w:rPr>
        <w:t>Aide</w:t>
      </w:r>
      <w:proofErr w:type="spellEnd"/>
      <w:r w:rsidR="00A8184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1840">
        <w:rPr>
          <w:rFonts w:ascii="Arial" w:hAnsi="Arial" w:cs="Arial"/>
          <w:sz w:val="24"/>
          <w:szCs w:val="24"/>
        </w:rPr>
        <w:t>Ginera</w:t>
      </w:r>
      <w:proofErr w:type="spellEnd"/>
      <w:r w:rsidR="00A81840">
        <w:rPr>
          <w:rFonts w:ascii="Arial" w:hAnsi="Arial" w:cs="Arial"/>
          <w:sz w:val="24"/>
          <w:szCs w:val="24"/>
        </w:rPr>
        <w:t xml:space="preserve"> Aparicio, jefa del </w:t>
      </w:r>
      <w:r w:rsidR="00A81840" w:rsidRPr="00C339D7">
        <w:rPr>
          <w:rFonts w:ascii="Arial" w:hAnsi="Arial" w:cs="Arial"/>
          <w:sz w:val="24"/>
          <w:szCs w:val="24"/>
        </w:rPr>
        <w:t>Departamento de Propiedad Intelectual y Transferencia</w:t>
      </w:r>
      <w:r w:rsidR="00B02B04">
        <w:rPr>
          <w:rFonts w:ascii="Arial" w:hAnsi="Arial" w:cs="Arial"/>
          <w:sz w:val="24"/>
          <w:szCs w:val="24"/>
        </w:rPr>
        <w:t>, de</w:t>
      </w:r>
      <w:r w:rsidR="00A81840">
        <w:rPr>
          <w:rFonts w:ascii="Arial" w:hAnsi="Arial" w:cs="Arial"/>
          <w:sz w:val="24"/>
          <w:szCs w:val="24"/>
        </w:rPr>
        <w:t xml:space="preserve">pendiente de la </w:t>
      </w:r>
      <w:r w:rsidR="00A81840">
        <w:rPr>
          <w:rFonts w:ascii="Arial" w:hAnsi="Arial" w:cs="Arial"/>
          <w:sz w:val="24"/>
          <w:szCs w:val="24"/>
        </w:rPr>
        <w:t>CGIP</w:t>
      </w:r>
      <w:r w:rsidR="00A81840">
        <w:rPr>
          <w:rFonts w:ascii="Arial" w:hAnsi="Arial" w:cs="Arial"/>
          <w:sz w:val="24"/>
          <w:szCs w:val="24"/>
        </w:rPr>
        <w:t xml:space="preserve">, indicó que se congratulan de recibir estos </w:t>
      </w:r>
      <w:r w:rsidR="00801E61" w:rsidRPr="00C339D7">
        <w:rPr>
          <w:rFonts w:ascii="Arial" w:hAnsi="Arial" w:cs="Arial"/>
          <w:sz w:val="24"/>
          <w:szCs w:val="24"/>
        </w:rPr>
        <w:t>nuevos otorgamientos de invención</w:t>
      </w:r>
      <w:r w:rsidR="00A81840">
        <w:rPr>
          <w:rFonts w:ascii="Arial" w:hAnsi="Arial" w:cs="Arial"/>
          <w:sz w:val="24"/>
          <w:szCs w:val="24"/>
        </w:rPr>
        <w:t>. “Es</w:t>
      </w:r>
      <w:r w:rsidR="00801E61" w:rsidRPr="00C339D7">
        <w:rPr>
          <w:rFonts w:ascii="Arial" w:hAnsi="Arial" w:cs="Arial"/>
          <w:sz w:val="24"/>
          <w:szCs w:val="24"/>
        </w:rPr>
        <w:t xml:space="preserve"> muy particular ya que el tiempo de procedimiento es extenso y en ocasiones eso se percibe como un obstáculo, por lo que nos complace informar que desde el año 2021 se han disminuido los periodos de trámite en esta área</w:t>
      </w:r>
      <w:r w:rsidR="00B02B04">
        <w:rPr>
          <w:rFonts w:ascii="Arial" w:hAnsi="Arial" w:cs="Arial"/>
          <w:sz w:val="24"/>
          <w:szCs w:val="24"/>
        </w:rPr>
        <w:t>. E</w:t>
      </w:r>
      <w:r w:rsidR="00801E61" w:rsidRPr="00C339D7">
        <w:rPr>
          <w:rFonts w:ascii="Arial" w:hAnsi="Arial" w:cs="Arial"/>
          <w:sz w:val="24"/>
          <w:szCs w:val="24"/>
        </w:rPr>
        <w:t xml:space="preserve">l último </w:t>
      </w:r>
      <w:r w:rsidR="00B02B04">
        <w:rPr>
          <w:rFonts w:ascii="Arial" w:hAnsi="Arial" w:cs="Arial"/>
          <w:sz w:val="24"/>
          <w:szCs w:val="24"/>
        </w:rPr>
        <w:t xml:space="preserve">es </w:t>
      </w:r>
      <w:r w:rsidR="00801E61" w:rsidRPr="00C339D7">
        <w:rPr>
          <w:rFonts w:ascii="Arial" w:hAnsi="Arial" w:cs="Arial"/>
          <w:sz w:val="24"/>
          <w:szCs w:val="24"/>
        </w:rPr>
        <w:t xml:space="preserve">un claro ejemplo donde la figura se obtuvo en aproximadamente un año y medio, cuando el promedio es entre 4 y hasta 6 años de acuerdo al </w:t>
      </w:r>
      <w:r w:rsidR="00A81840">
        <w:rPr>
          <w:rFonts w:ascii="Arial" w:hAnsi="Arial" w:cs="Arial"/>
          <w:sz w:val="24"/>
          <w:szCs w:val="24"/>
        </w:rPr>
        <w:t xml:space="preserve">tipo de figura que se solicita”, </w:t>
      </w:r>
      <w:r w:rsidR="00A81840" w:rsidRPr="00A81840">
        <w:rPr>
          <w:rFonts w:ascii="Arial" w:hAnsi="Arial" w:cs="Arial"/>
          <w:sz w:val="24"/>
          <w:szCs w:val="24"/>
        </w:rPr>
        <w:t>puntualizó</w:t>
      </w:r>
      <w:r w:rsidR="00A81840">
        <w:rPr>
          <w:rFonts w:ascii="Arial" w:hAnsi="Arial" w:cs="Arial"/>
          <w:sz w:val="24"/>
          <w:szCs w:val="24"/>
        </w:rPr>
        <w:t>.</w:t>
      </w:r>
    </w:p>
    <w:sectPr w:rsidR="0005477D" w:rsidRPr="0005477D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CBFFF" w14:textId="77777777" w:rsidR="00344CE9" w:rsidRDefault="00344CE9">
      <w:r>
        <w:separator/>
      </w:r>
    </w:p>
  </w:endnote>
  <w:endnote w:type="continuationSeparator" w:id="0">
    <w:p w14:paraId="62C8FFF9" w14:textId="77777777" w:rsidR="00344CE9" w:rsidRDefault="0034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0184F" w14:textId="77777777" w:rsidR="00344CE9" w:rsidRDefault="00344CE9">
      <w:r>
        <w:rPr>
          <w:color w:val="000000"/>
        </w:rPr>
        <w:separator/>
      </w:r>
    </w:p>
  </w:footnote>
  <w:footnote w:type="continuationSeparator" w:id="0">
    <w:p w14:paraId="75C15761" w14:textId="77777777" w:rsidR="00344CE9" w:rsidRDefault="00344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1AC81974"/>
    <w:multiLevelType w:val="hybridMultilevel"/>
    <w:tmpl w:val="7812C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2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A31083"/>
    <w:multiLevelType w:val="hybridMultilevel"/>
    <w:tmpl w:val="26BEA9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EA0D61"/>
    <w:multiLevelType w:val="hybridMultilevel"/>
    <w:tmpl w:val="E9B0A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26251C"/>
    <w:multiLevelType w:val="hybridMultilevel"/>
    <w:tmpl w:val="C096B28C"/>
    <w:lvl w:ilvl="0" w:tplc="577803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4EA5038">
      <w:numFmt w:val="bullet"/>
      <w:lvlText w:val="•"/>
      <w:lvlJc w:val="left"/>
      <w:pPr>
        <w:ind w:left="1393" w:hanging="360"/>
      </w:pPr>
      <w:rPr>
        <w:rFonts w:hint="default"/>
        <w:lang w:val="es-ES" w:eastAsia="en-US" w:bidi="ar-SA"/>
      </w:rPr>
    </w:lvl>
    <w:lvl w:ilvl="2" w:tplc="D7FEA5AA">
      <w:numFmt w:val="bullet"/>
      <w:lvlText w:val="•"/>
      <w:lvlJc w:val="left"/>
      <w:pPr>
        <w:ind w:left="1967" w:hanging="360"/>
      </w:pPr>
      <w:rPr>
        <w:rFonts w:hint="default"/>
        <w:lang w:val="es-ES" w:eastAsia="en-US" w:bidi="ar-SA"/>
      </w:rPr>
    </w:lvl>
    <w:lvl w:ilvl="3" w:tplc="D76E41DC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4" w:tplc="10B0B5E0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5" w:tplc="CAF49F5C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6" w:tplc="0B6EC8E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7" w:tplc="090A1C8E">
      <w:numFmt w:val="bullet"/>
      <w:lvlText w:val="•"/>
      <w:lvlJc w:val="left"/>
      <w:pPr>
        <w:ind w:left="4834" w:hanging="360"/>
      </w:pPr>
      <w:rPr>
        <w:rFonts w:hint="default"/>
        <w:lang w:val="es-ES" w:eastAsia="en-US" w:bidi="ar-SA"/>
      </w:rPr>
    </w:lvl>
    <w:lvl w:ilvl="8" w:tplc="BEAC4A16">
      <w:numFmt w:val="bullet"/>
      <w:lvlText w:val="•"/>
      <w:lvlJc w:val="left"/>
      <w:pPr>
        <w:ind w:left="5408" w:hanging="360"/>
      </w:pPr>
      <w:rPr>
        <w:rFonts w:hint="default"/>
        <w:lang w:val="es-ES" w:eastAsia="en-US" w:bidi="ar-SA"/>
      </w:rPr>
    </w:lvl>
  </w:abstractNum>
  <w:abstractNum w:abstractNumId="24">
    <w:nsid w:val="4D713865"/>
    <w:multiLevelType w:val="hybridMultilevel"/>
    <w:tmpl w:val="5044B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D673CC"/>
    <w:multiLevelType w:val="hybridMultilevel"/>
    <w:tmpl w:val="43EAB8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31">
    <w:nsid w:val="5F237DF5"/>
    <w:multiLevelType w:val="hybridMultilevel"/>
    <w:tmpl w:val="08F87AFA"/>
    <w:lvl w:ilvl="0" w:tplc="5A30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DF4554"/>
    <w:multiLevelType w:val="hybridMultilevel"/>
    <w:tmpl w:val="4948ABBC"/>
    <w:lvl w:ilvl="0" w:tplc="F3E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0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1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44">
    <w:nsid w:val="76321F90"/>
    <w:multiLevelType w:val="hybridMultilevel"/>
    <w:tmpl w:val="39CEF1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46">
    <w:nsid w:val="7C576E4D"/>
    <w:multiLevelType w:val="hybridMultilevel"/>
    <w:tmpl w:val="4D68F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1"/>
  </w:num>
  <w:num w:numId="3">
    <w:abstractNumId w:val="21"/>
  </w:num>
  <w:num w:numId="4">
    <w:abstractNumId w:val="15"/>
  </w:num>
  <w:num w:numId="5">
    <w:abstractNumId w:val="2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39"/>
  </w:num>
  <w:num w:numId="11">
    <w:abstractNumId w:val="16"/>
  </w:num>
  <w:num w:numId="12">
    <w:abstractNumId w:val="9"/>
  </w:num>
  <w:num w:numId="13">
    <w:abstractNumId w:val="33"/>
  </w:num>
  <w:num w:numId="14">
    <w:abstractNumId w:val="45"/>
  </w:num>
  <w:num w:numId="15">
    <w:abstractNumId w:val="19"/>
  </w:num>
  <w:num w:numId="16">
    <w:abstractNumId w:val="34"/>
  </w:num>
  <w:num w:numId="17">
    <w:abstractNumId w:val="28"/>
  </w:num>
  <w:num w:numId="18">
    <w:abstractNumId w:val="3"/>
  </w:num>
  <w:num w:numId="19">
    <w:abstractNumId w:val="40"/>
  </w:num>
  <w:num w:numId="20">
    <w:abstractNumId w:val="47"/>
  </w:num>
  <w:num w:numId="21">
    <w:abstractNumId w:val="32"/>
  </w:num>
  <w:num w:numId="22">
    <w:abstractNumId w:val="0"/>
  </w:num>
  <w:num w:numId="23">
    <w:abstractNumId w:val="12"/>
  </w:num>
  <w:num w:numId="24">
    <w:abstractNumId w:val="2"/>
  </w:num>
  <w:num w:numId="25">
    <w:abstractNumId w:val="42"/>
  </w:num>
  <w:num w:numId="26">
    <w:abstractNumId w:val="43"/>
  </w:num>
  <w:num w:numId="27">
    <w:abstractNumId w:val="10"/>
  </w:num>
  <w:num w:numId="28">
    <w:abstractNumId w:val="26"/>
  </w:num>
  <w:num w:numId="29">
    <w:abstractNumId w:val="17"/>
  </w:num>
  <w:num w:numId="30">
    <w:abstractNumId w:val="35"/>
  </w:num>
  <w:num w:numId="31">
    <w:abstractNumId w:val="14"/>
  </w:num>
  <w:num w:numId="32">
    <w:abstractNumId w:val="4"/>
  </w:num>
  <w:num w:numId="33">
    <w:abstractNumId w:val="1"/>
  </w:num>
  <w:num w:numId="34">
    <w:abstractNumId w:val="25"/>
  </w:num>
  <w:num w:numId="35">
    <w:abstractNumId w:val="27"/>
  </w:num>
  <w:num w:numId="36">
    <w:abstractNumId w:val="11"/>
  </w:num>
  <w:num w:numId="37">
    <w:abstractNumId w:val="30"/>
  </w:num>
  <w:num w:numId="38">
    <w:abstractNumId w:val="37"/>
  </w:num>
  <w:num w:numId="39">
    <w:abstractNumId w:val="31"/>
  </w:num>
  <w:num w:numId="40">
    <w:abstractNumId w:val="23"/>
  </w:num>
  <w:num w:numId="41">
    <w:abstractNumId w:val="24"/>
  </w:num>
  <w:num w:numId="42">
    <w:abstractNumId w:val="38"/>
  </w:num>
  <w:num w:numId="43">
    <w:abstractNumId w:val="8"/>
  </w:num>
  <w:num w:numId="44">
    <w:abstractNumId w:val="29"/>
  </w:num>
  <w:num w:numId="45">
    <w:abstractNumId w:val="44"/>
  </w:num>
  <w:num w:numId="46">
    <w:abstractNumId w:val="18"/>
  </w:num>
  <w:num w:numId="47">
    <w:abstractNumId w:val="46"/>
  </w:num>
  <w:num w:numId="48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7DF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96E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6F395-B0AC-4CED-813C-1D1EC6E4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539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21</cp:revision>
  <cp:lastPrinted>2022-03-08T19:57:00Z</cp:lastPrinted>
  <dcterms:created xsi:type="dcterms:W3CDTF">2022-03-08T01:59:00Z</dcterms:created>
  <dcterms:modified xsi:type="dcterms:W3CDTF">2022-03-08T20:40:00Z</dcterms:modified>
</cp:coreProperties>
</file>