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769DF057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90040">
        <w:rPr>
          <w:rFonts w:ascii="Arial" w:hAnsi="Arial" w:cs="Arial"/>
          <w:b/>
          <w:sz w:val="24"/>
          <w:szCs w:val="24"/>
        </w:rPr>
        <w:t>0</w:t>
      </w:r>
      <w:r w:rsidR="009904A6">
        <w:rPr>
          <w:rFonts w:ascii="Arial" w:hAnsi="Arial" w:cs="Arial"/>
          <w:b/>
          <w:sz w:val="24"/>
          <w:szCs w:val="24"/>
        </w:rPr>
        <w:t>8</w:t>
      </w:r>
      <w:r w:rsidR="00BE2375">
        <w:rPr>
          <w:rFonts w:ascii="Arial" w:hAnsi="Arial" w:cs="Arial"/>
          <w:b/>
          <w:sz w:val="24"/>
          <w:szCs w:val="24"/>
        </w:rPr>
        <w:t>8</w:t>
      </w:r>
      <w:r w:rsidR="0049457C" w:rsidRPr="0089004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8C7B4C5" w14:textId="77777777" w:rsidR="00BE2375" w:rsidRDefault="00BE2375" w:rsidP="00BE2375">
      <w:pPr>
        <w:jc w:val="center"/>
        <w:rPr>
          <w:rFonts w:ascii="Arial" w:hAnsi="Arial" w:cs="Arial"/>
          <w:b/>
          <w:sz w:val="24"/>
          <w:szCs w:val="24"/>
        </w:rPr>
      </w:pPr>
    </w:p>
    <w:p w14:paraId="62615802" w14:textId="77777777" w:rsidR="00BE2375" w:rsidRPr="00BE2375" w:rsidRDefault="00BE2375" w:rsidP="00BE2375">
      <w:pPr>
        <w:jc w:val="center"/>
        <w:rPr>
          <w:rFonts w:ascii="Arial" w:hAnsi="Arial" w:cs="Arial"/>
          <w:b/>
          <w:sz w:val="36"/>
          <w:szCs w:val="24"/>
        </w:rPr>
      </w:pPr>
      <w:r w:rsidRPr="00BE2375">
        <w:rPr>
          <w:rFonts w:ascii="Arial" w:hAnsi="Arial" w:cs="Arial"/>
          <w:b/>
          <w:sz w:val="36"/>
          <w:szCs w:val="24"/>
        </w:rPr>
        <w:t xml:space="preserve">Colaboran UABC y </w:t>
      </w:r>
      <w:proofErr w:type="spellStart"/>
      <w:r w:rsidRPr="00BE2375">
        <w:rPr>
          <w:rFonts w:ascii="Arial" w:hAnsi="Arial" w:cs="Arial"/>
          <w:b/>
          <w:sz w:val="36"/>
          <w:szCs w:val="24"/>
        </w:rPr>
        <w:t>Sedena</w:t>
      </w:r>
      <w:proofErr w:type="spellEnd"/>
      <w:r w:rsidRPr="00BE2375">
        <w:rPr>
          <w:rFonts w:ascii="Arial" w:hAnsi="Arial" w:cs="Arial"/>
          <w:b/>
          <w:sz w:val="36"/>
          <w:szCs w:val="24"/>
        </w:rPr>
        <w:t xml:space="preserve"> en beneficio de la sociedad</w:t>
      </w:r>
    </w:p>
    <w:p w14:paraId="4B7A3438" w14:textId="77777777" w:rsidR="00BE2375" w:rsidRDefault="00BE2375" w:rsidP="00BE2375">
      <w:pPr>
        <w:jc w:val="both"/>
        <w:rPr>
          <w:rFonts w:ascii="Arial" w:hAnsi="Arial" w:cs="Arial"/>
          <w:sz w:val="24"/>
          <w:szCs w:val="24"/>
        </w:rPr>
      </w:pPr>
    </w:p>
    <w:p w14:paraId="2A322CF9" w14:textId="506ED576" w:rsidR="00BE2375" w:rsidRPr="00340B7F" w:rsidRDefault="00BE2375" w:rsidP="00BE2375">
      <w:pPr>
        <w:pStyle w:val="Prrafodelista"/>
        <w:numPr>
          <w:ilvl w:val="0"/>
          <w:numId w:val="4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340B7F">
        <w:rPr>
          <w:rFonts w:ascii="Arial" w:hAnsi="Arial" w:cs="Arial"/>
          <w:sz w:val="24"/>
          <w:szCs w:val="24"/>
        </w:rPr>
        <w:t xml:space="preserve"> través de la organización de eventos deportivos, culturales y brigadas de apoyo</w:t>
      </w:r>
      <w:r>
        <w:rPr>
          <w:rFonts w:ascii="Arial" w:hAnsi="Arial" w:cs="Arial"/>
          <w:sz w:val="24"/>
          <w:szCs w:val="24"/>
        </w:rPr>
        <w:t>.</w:t>
      </w:r>
    </w:p>
    <w:p w14:paraId="61F4241F" w14:textId="77777777" w:rsidR="00BE2375" w:rsidRDefault="00BE2375" w:rsidP="00BE2375">
      <w:pPr>
        <w:jc w:val="both"/>
        <w:rPr>
          <w:rFonts w:ascii="Arial" w:hAnsi="Arial" w:cs="Arial"/>
          <w:sz w:val="24"/>
          <w:szCs w:val="24"/>
        </w:rPr>
      </w:pPr>
    </w:p>
    <w:p w14:paraId="6E1AA707" w14:textId="7A8FCD7F" w:rsidR="00BE2375" w:rsidRDefault="00BE2375" w:rsidP="00BE2375">
      <w:pPr>
        <w:jc w:val="both"/>
        <w:rPr>
          <w:rFonts w:ascii="Arial" w:hAnsi="Arial" w:cs="Arial"/>
          <w:sz w:val="24"/>
          <w:szCs w:val="24"/>
        </w:rPr>
      </w:pPr>
      <w:r w:rsidRPr="00BE2375">
        <w:rPr>
          <w:rFonts w:ascii="Arial" w:hAnsi="Arial" w:cs="Arial"/>
          <w:b/>
          <w:sz w:val="24"/>
          <w:szCs w:val="24"/>
        </w:rPr>
        <w:t xml:space="preserve">Mexicali, Baja California, </w:t>
      </w:r>
      <w:bookmarkStart w:id="0" w:name="_GoBack"/>
      <w:bookmarkEnd w:id="0"/>
      <w:r w:rsidRPr="00BE2375">
        <w:rPr>
          <w:rFonts w:ascii="Arial" w:hAnsi="Arial" w:cs="Arial"/>
          <w:b/>
          <w:sz w:val="24"/>
          <w:szCs w:val="24"/>
        </w:rPr>
        <w:t>sábado 11 de junio de 2022</w:t>
      </w:r>
      <w:r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Beneficiar a las comunidades vulnerables y de escasos recursos mientras se promueve la responsabilidad social universitaria es el objetivo de la colaboración entre la UABC, la Secretaría de la Defensa Nacional (</w:t>
      </w:r>
      <w:proofErr w:type="spellStart"/>
      <w:r>
        <w:rPr>
          <w:rFonts w:ascii="Arial" w:hAnsi="Arial" w:cs="Arial"/>
          <w:sz w:val="24"/>
          <w:szCs w:val="24"/>
        </w:rPr>
        <w:t>Sedena</w:t>
      </w:r>
      <w:proofErr w:type="spellEnd"/>
      <w:r>
        <w:rPr>
          <w:rFonts w:ascii="Arial" w:hAnsi="Arial" w:cs="Arial"/>
          <w:sz w:val="24"/>
          <w:szCs w:val="24"/>
        </w:rPr>
        <w:t>) y la Guardia Nacional. Será a través de la organización de eventos deportivos, culturales y brigadas de apoyo en los que estudiantes cimarrones brindará su servicio social profesional con el programa UABC Contigo.</w:t>
      </w:r>
    </w:p>
    <w:p w14:paraId="0F86BBB8" w14:textId="77777777" w:rsidR="00BE2375" w:rsidRDefault="00BE2375" w:rsidP="00BE2375">
      <w:pPr>
        <w:jc w:val="both"/>
        <w:rPr>
          <w:rFonts w:ascii="Arial" w:hAnsi="Arial" w:cs="Arial"/>
          <w:sz w:val="24"/>
          <w:szCs w:val="24"/>
        </w:rPr>
      </w:pPr>
    </w:p>
    <w:p w14:paraId="3EDC4534" w14:textId="77777777" w:rsidR="00BE2375" w:rsidRDefault="00BE2375" w:rsidP="00BE23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marco de esta colaboración, que inició en abril del presente año, se han realizado conferencias sobre Cultura de la Seguridad Nacional a las que asistieron más de 1,200 estudiantes de los campus Tijuana y Mexicali, y se participó en las actividades del Día del Niño en colonias marginadas. El próximo 3 de julio se realizará la carrera atlética de UABC-</w:t>
      </w:r>
      <w:proofErr w:type="spellStart"/>
      <w:r>
        <w:rPr>
          <w:rFonts w:ascii="Arial" w:hAnsi="Arial" w:cs="Arial"/>
          <w:sz w:val="24"/>
          <w:szCs w:val="24"/>
        </w:rPr>
        <w:t>Sedena</w:t>
      </w:r>
      <w:proofErr w:type="spellEnd"/>
      <w:r>
        <w:rPr>
          <w:rFonts w:ascii="Arial" w:hAnsi="Arial" w:cs="Arial"/>
          <w:sz w:val="24"/>
          <w:szCs w:val="24"/>
        </w:rPr>
        <w:t>, coorganizada por la Facultad de Deportes y se llevarán a cabo actividades de reforestación y limpieza en parques y espacios públicos, entre otras actividades.</w:t>
      </w:r>
    </w:p>
    <w:p w14:paraId="2357C10C" w14:textId="77777777" w:rsidR="00BE2375" w:rsidRDefault="00BE2375" w:rsidP="00BE2375">
      <w:pPr>
        <w:jc w:val="both"/>
        <w:rPr>
          <w:rFonts w:ascii="Arial" w:hAnsi="Arial" w:cs="Arial"/>
          <w:sz w:val="24"/>
          <w:szCs w:val="24"/>
        </w:rPr>
      </w:pPr>
    </w:p>
    <w:p w14:paraId="7895A513" w14:textId="77777777" w:rsidR="00BE2375" w:rsidRDefault="00BE2375" w:rsidP="00BE23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coordinador general de Vinculación y Cooperación Académica de la UABC, doctor David Guadalupe Toledo Sarracino, indicó que también se suman a la colaboración los departamentos de Apoyo a la Extensión de la Cultura y la Vinculación, mientras que las unidades académicas participantes son la Facultad de Derecho Mexicali, Facultad de Derecho Tijuana, Facultad de Ciencias Administrativas y Sociales, Facultad de  Ciencias de la Ingeniería, Administrativas y Sociales, Facultad de Ciencias Sociales y Políticas y, Facultad de Deportes.</w:t>
      </w:r>
    </w:p>
    <w:p w14:paraId="1FEAC131" w14:textId="77777777" w:rsidR="00BE2375" w:rsidRDefault="00BE2375" w:rsidP="00BE2375">
      <w:pPr>
        <w:jc w:val="both"/>
        <w:rPr>
          <w:rFonts w:ascii="Arial" w:hAnsi="Arial" w:cs="Arial"/>
          <w:sz w:val="24"/>
          <w:szCs w:val="24"/>
        </w:rPr>
      </w:pPr>
    </w:p>
    <w:p w14:paraId="0C022EE0" w14:textId="77777777" w:rsidR="00BE2375" w:rsidRDefault="00BE2375" w:rsidP="00BE2375">
      <w:pPr>
        <w:jc w:val="both"/>
        <w:rPr>
          <w:rFonts w:ascii="Arial" w:hAnsi="Arial" w:cs="Arial"/>
          <w:sz w:val="24"/>
          <w:szCs w:val="24"/>
          <w:lang w:val="es-ES"/>
        </w:rPr>
      </w:pPr>
      <w:r w:rsidRPr="00340B7F">
        <w:rPr>
          <w:rFonts w:ascii="Arial" w:hAnsi="Arial" w:cs="Arial"/>
          <w:sz w:val="24"/>
          <w:szCs w:val="24"/>
        </w:rPr>
        <w:t xml:space="preserve">El doctor Toledo Sarracino expresó que </w:t>
      </w:r>
      <w:r>
        <w:rPr>
          <w:rFonts w:ascii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hAnsi="Arial" w:cs="Arial"/>
          <w:sz w:val="24"/>
          <w:szCs w:val="24"/>
        </w:rPr>
        <w:t>Sedena</w:t>
      </w:r>
      <w:proofErr w:type="spellEnd"/>
      <w:r w:rsidRPr="00340B7F">
        <w:rPr>
          <w:rFonts w:ascii="Arial" w:hAnsi="Arial" w:cs="Arial"/>
          <w:sz w:val="24"/>
          <w:szCs w:val="24"/>
        </w:rPr>
        <w:t xml:space="preserve"> cultiva la Cultura de Seguridad Nacional y la nueva </w:t>
      </w:r>
      <w:r w:rsidRPr="00340B7F">
        <w:rPr>
          <w:rFonts w:ascii="Arial" w:hAnsi="Arial" w:cs="Arial"/>
          <w:sz w:val="24"/>
          <w:szCs w:val="24"/>
          <w:lang w:val="es-ES"/>
        </w:rPr>
        <w:t xml:space="preserve">ruta para extender la Cultura de la Paz en el estado, con el </w:t>
      </w:r>
      <w:r>
        <w:rPr>
          <w:rFonts w:ascii="Arial" w:hAnsi="Arial" w:cs="Arial"/>
          <w:sz w:val="24"/>
          <w:szCs w:val="24"/>
          <w:lang w:val="es-ES"/>
        </w:rPr>
        <w:t xml:space="preserve">acompañamiento de la UABC y el apoyo </w:t>
      </w:r>
      <w:r w:rsidRPr="00340B7F">
        <w:rPr>
          <w:rFonts w:ascii="Arial" w:hAnsi="Arial" w:cs="Arial"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otras</w:t>
      </w:r>
      <w:r w:rsidRPr="00340B7F">
        <w:rPr>
          <w:rFonts w:ascii="Arial" w:hAnsi="Arial" w:cs="Arial"/>
          <w:sz w:val="24"/>
          <w:szCs w:val="24"/>
          <w:lang w:val="es-ES"/>
        </w:rPr>
        <w:t xml:space="preserve"> instituciones que </w:t>
      </w:r>
      <w:r>
        <w:rPr>
          <w:rFonts w:ascii="Arial" w:hAnsi="Arial" w:cs="Arial"/>
          <w:sz w:val="24"/>
          <w:szCs w:val="24"/>
          <w:lang w:val="es-ES"/>
        </w:rPr>
        <w:t xml:space="preserve">también </w:t>
      </w:r>
      <w:r w:rsidRPr="00340B7F">
        <w:rPr>
          <w:rFonts w:ascii="Arial" w:hAnsi="Arial" w:cs="Arial"/>
          <w:sz w:val="24"/>
          <w:szCs w:val="24"/>
          <w:lang w:val="es-ES"/>
        </w:rPr>
        <w:t>gozan de</w:t>
      </w:r>
      <w:r>
        <w:rPr>
          <w:rFonts w:ascii="Arial" w:hAnsi="Arial" w:cs="Arial"/>
          <w:sz w:val="24"/>
          <w:szCs w:val="24"/>
          <w:lang w:val="es-ES"/>
        </w:rPr>
        <w:t>l</w:t>
      </w:r>
      <w:r w:rsidRPr="00340B7F">
        <w:rPr>
          <w:rFonts w:ascii="Arial" w:hAnsi="Arial" w:cs="Arial"/>
          <w:sz w:val="24"/>
          <w:szCs w:val="24"/>
          <w:lang w:val="es-ES"/>
        </w:rPr>
        <w:t xml:space="preserve"> re</w:t>
      </w:r>
      <w:r>
        <w:rPr>
          <w:rFonts w:ascii="Arial" w:hAnsi="Arial" w:cs="Arial"/>
          <w:sz w:val="24"/>
          <w:szCs w:val="24"/>
          <w:lang w:val="es-ES"/>
        </w:rPr>
        <w:t>conocimiento de la sociedad</w:t>
      </w:r>
      <w:r w:rsidRPr="00340B7F">
        <w:rPr>
          <w:rFonts w:ascii="Arial" w:hAnsi="Arial" w:cs="Arial"/>
          <w:sz w:val="24"/>
          <w:szCs w:val="24"/>
          <w:lang w:val="es-ES"/>
        </w:rPr>
        <w:t>.</w:t>
      </w:r>
    </w:p>
    <w:p w14:paraId="4ACCF215" w14:textId="77777777" w:rsidR="00BE2375" w:rsidRDefault="00BE2375" w:rsidP="00BE2375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36FFE00" w14:textId="77777777" w:rsidR="00BE2375" w:rsidRPr="00340B7F" w:rsidRDefault="00BE2375" w:rsidP="00BE2375">
      <w:pPr>
        <w:jc w:val="both"/>
        <w:rPr>
          <w:rFonts w:ascii="Arial" w:hAnsi="Arial" w:cs="Arial"/>
          <w:sz w:val="24"/>
          <w:szCs w:val="24"/>
          <w:lang w:val="es-ES"/>
        </w:rPr>
      </w:pPr>
      <w:r w:rsidRPr="00340B7F">
        <w:rPr>
          <w:rFonts w:ascii="Arial" w:hAnsi="Arial" w:cs="Arial"/>
          <w:sz w:val="24"/>
          <w:szCs w:val="24"/>
          <w:lang w:val="es-ES"/>
        </w:rPr>
        <w:t xml:space="preserve">“La comunidad en general está interesada en conocer como la Universidad, de manera transversal, trastoca temas relevantes de la vida pública nacional con la responsabilidad social universitaria y fomenta la cultura de la paz a través de actividades de atención a poblaciones </w:t>
      </w:r>
      <w:r>
        <w:rPr>
          <w:rFonts w:ascii="Arial" w:hAnsi="Arial" w:cs="Arial"/>
          <w:sz w:val="24"/>
          <w:szCs w:val="24"/>
          <w:lang w:val="es-ES"/>
        </w:rPr>
        <w:t>vulnerables</w:t>
      </w:r>
      <w:r w:rsidRPr="00340B7F">
        <w:rPr>
          <w:rFonts w:ascii="Arial" w:hAnsi="Arial" w:cs="Arial"/>
          <w:sz w:val="24"/>
          <w:szCs w:val="24"/>
          <w:lang w:val="es-ES"/>
        </w:rPr>
        <w:t>”, manifestó.</w:t>
      </w:r>
    </w:p>
    <w:p w14:paraId="6A700ED4" w14:textId="77777777" w:rsidR="00BE2375" w:rsidRDefault="00BE2375" w:rsidP="00BE2375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p w14:paraId="67F5CA22" w14:textId="77777777" w:rsidR="00BE2375" w:rsidRPr="00340B7F" w:rsidRDefault="00BE2375" w:rsidP="00BE2375">
      <w:pPr>
        <w:jc w:val="both"/>
        <w:rPr>
          <w:rFonts w:ascii="Arial" w:hAnsi="Arial" w:cs="Arial"/>
          <w:sz w:val="24"/>
          <w:szCs w:val="24"/>
        </w:rPr>
      </w:pPr>
      <w:r w:rsidRPr="00340B7F">
        <w:rPr>
          <w:rFonts w:ascii="Arial" w:hAnsi="Arial" w:cs="Arial"/>
          <w:sz w:val="24"/>
          <w:szCs w:val="24"/>
          <w:lang w:val="es-ES"/>
        </w:rPr>
        <w:t xml:space="preserve">Finalmente, el coordinador agregó que los estudiantes que deseen participar en las actividades realizadas en conjunto por la UABC y la </w:t>
      </w:r>
      <w:proofErr w:type="spellStart"/>
      <w:r w:rsidRPr="00340B7F">
        <w:rPr>
          <w:rFonts w:ascii="Arial" w:hAnsi="Arial" w:cs="Arial"/>
          <w:sz w:val="24"/>
          <w:szCs w:val="24"/>
          <w:lang w:val="es-ES"/>
        </w:rPr>
        <w:t>Sedena</w:t>
      </w:r>
      <w:proofErr w:type="spellEnd"/>
      <w:r w:rsidRPr="00340B7F">
        <w:rPr>
          <w:rFonts w:ascii="Arial" w:hAnsi="Arial" w:cs="Arial"/>
          <w:sz w:val="24"/>
          <w:szCs w:val="24"/>
          <w:lang w:val="es-ES"/>
        </w:rPr>
        <w:t xml:space="preserve">, </w:t>
      </w:r>
      <w:r w:rsidRPr="00340B7F">
        <w:rPr>
          <w:rFonts w:ascii="Arial" w:hAnsi="Arial" w:cs="Arial"/>
          <w:sz w:val="24"/>
          <w:szCs w:val="24"/>
        </w:rPr>
        <w:t>obtendr</w:t>
      </w:r>
      <w:r>
        <w:rPr>
          <w:rFonts w:ascii="Arial" w:hAnsi="Arial" w:cs="Arial"/>
          <w:sz w:val="24"/>
          <w:szCs w:val="24"/>
        </w:rPr>
        <w:t>á</w:t>
      </w:r>
      <w:r w:rsidRPr="00340B7F">
        <w:rPr>
          <w:rFonts w:ascii="Arial" w:hAnsi="Arial" w:cs="Arial"/>
          <w:sz w:val="24"/>
          <w:szCs w:val="24"/>
        </w:rPr>
        <w:t xml:space="preserve">n créditos en las actividades de formación integral y liberación de horas de servicio social comunitario. </w:t>
      </w:r>
    </w:p>
    <w:p w14:paraId="5B586280" w14:textId="77777777" w:rsidR="00BE2375" w:rsidRPr="00340B7F" w:rsidRDefault="00BE2375" w:rsidP="00BE2375">
      <w:pPr>
        <w:jc w:val="both"/>
        <w:rPr>
          <w:rFonts w:ascii="Arial" w:hAnsi="Arial" w:cs="Arial"/>
          <w:sz w:val="24"/>
          <w:szCs w:val="24"/>
        </w:rPr>
      </w:pPr>
    </w:p>
    <w:p w14:paraId="527158B5" w14:textId="77777777" w:rsidR="00250072" w:rsidRPr="00250072" w:rsidRDefault="00250072" w:rsidP="007F5A06">
      <w:pPr>
        <w:jc w:val="center"/>
        <w:rPr>
          <w:rFonts w:ascii="Arial" w:hAnsi="Arial" w:cs="Arial"/>
          <w:b/>
          <w:color w:val="000000"/>
          <w:spacing w:val="-6"/>
          <w:sz w:val="12"/>
          <w:szCs w:val="12"/>
        </w:rPr>
      </w:pPr>
    </w:p>
    <w:sectPr w:rsidR="00250072" w:rsidRPr="00250072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06DA6" w14:textId="77777777" w:rsidR="007518E9" w:rsidRDefault="007518E9">
      <w:r>
        <w:separator/>
      </w:r>
    </w:p>
  </w:endnote>
  <w:endnote w:type="continuationSeparator" w:id="0">
    <w:p w14:paraId="263C1B65" w14:textId="77777777" w:rsidR="007518E9" w:rsidRDefault="0075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4CA57" w14:textId="77777777" w:rsidR="007518E9" w:rsidRDefault="007518E9">
      <w:r>
        <w:rPr>
          <w:color w:val="000000"/>
        </w:rPr>
        <w:separator/>
      </w:r>
    </w:p>
  </w:footnote>
  <w:footnote w:type="continuationSeparator" w:id="0">
    <w:p w14:paraId="5466F50A" w14:textId="77777777" w:rsidR="007518E9" w:rsidRDefault="00751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1D46D2"/>
    <w:multiLevelType w:val="hybridMultilevel"/>
    <w:tmpl w:val="4C76BD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B7081"/>
    <w:multiLevelType w:val="hybridMultilevel"/>
    <w:tmpl w:val="CA5CA5F8"/>
    <w:lvl w:ilvl="0" w:tplc="15E664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7065D"/>
    <w:multiLevelType w:val="hybridMultilevel"/>
    <w:tmpl w:val="794847F8"/>
    <w:lvl w:ilvl="0" w:tplc="080A0001">
      <w:start w:val="1"/>
      <w:numFmt w:val="bullet"/>
      <w:lvlText w:val=""/>
      <w:lvlJc w:val="left"/>
      <w:pPr>
        <w:ind w:left="1120" w:hanging="552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705BBF"/>
    <w:multiLevelType w:val="hybridMultilevel"/>
    <w:tmpl w:val="D048E75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10">
    <w:nsid w:val="24EB7FF6"/>
    <w:multiLevelType w:val="hybridMultilevel"/>
    <w:tmpl w:val="C9EE6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513B6C"/>
    <w:multiLevelType w:val="hybridMultilevel"/>
    <w:tmpl w:val="BBCE62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3F5F97"/>
    <w:multiLevelType w:val="hybridMultilevel"/>
    <w:tmpl w:val="8D0ED870"/>
    <w:lvl w:ilvl="0" w:tplc="E4E24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1140D8"/>
    <w:multiLevelType w:val="hybridMultilevel"/>
    <w:tmpl w:val="C5D644C0"/>
    <w:lvl w:ilvl="0" w:tplc="D34C834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E8C2E23C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641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96803E5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4174758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63C11E2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7E96D4B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215AC69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1A14CBA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9">
    <w:nsid w:val="367E38F6"/>
    <w:multiLevelType w:val="hybridMultilevel"/>
    <w:tmpl w:val="EFF08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358BE"/>
    <w:multiLevelType w:val="hybridMultilevel"/>
    <w:tmpl w:val="44DAC9A4"/>
    <w:lvl w:ilvl="0" w:tplc="1DDE236C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5475" w:hanging="360"/>
      </w:pPr>
    </w:lvl>
    <w:lvl w:ilvl="2" w:tplc="0C0A001B" w:tentative="1">
      <w:start w:val="1"/>
      <w:numFmt w:val="lowerRoman"/>
      <w:lvlText w:val="%3."/>
      <w:lvlJc w:val="right"/>
      <w:pPr>
        <w:ind w:left="6195" w:hanging="180"/>
      </w:pPr>
    </w:lvl>
    <w:lvl w:ilvl="3" w:tplc="0C0A000F" w:tentative="1">
      <w:start w:val="1"/>
      <w:numFmt w:val="decimal"/>
      <w:lvlText w:val="%4."/>
      <w:lvlJc w:val="left"/>
      <w:pPr>
        <w:ind w:left="6915" w:hanging="360"/>
      </w:pPr>
    </w:lvl>
    <w:lvl w:ilvl="4" w:tplc="0C0A0019" w:tentative="1">
      <w:start w:val="1"/>
      <w:numFmt w:val="lowerLetter"/>
      <w:lvlText w:val="%5."/>
      <w:lvlJc w:val="left"/>
      <w:pPr>
        <w:ind w:left="7635" w:hanging="360"/>
      </w:pPr>
    </w:lvl>
    <w:lvl w:ilvl="5" w:tplc="0C0A001B" w:tentative="1">
      <w:start w:val="1"/>
      <w:numFmt w:val="lowerRoman"/>
      <w:lvlText w:val="%6."/>
      <w:lvlJc w:val="right"/>
      <w:pPr>
        <w:ind w:left="8355" w:hanging="180"/>
      </w:pPr>
    </w:lvl>
    <w:lvl w:ilvl="6" w:tplc="0C0A000F" w:tentative="1">
      <w:start w:val="1"/>
      <w:numFmt w:val="decimal"/>
      <w:lvlText w:val="%7."/>
      <w:lvlJc w:val="left"/>
      <w:pPr>
        <w:ind w:left="9075" w:hanging="360"/>
      </w:pPr>
    </w:lvl>
    <w:lvl w:ilvl="7" w:tplc="0C0A0019" w:tentative="1">
      <w:start w:val="1"/>
      <w:numFmt w:val="lowerLetter"/>
      <w:lvlText w:val="%8."/>
      <w:lvlJc w:val="left"/>
      <w:pPr>
        <w:ind w:left="9795" w:hanging="360"/>
      </w:pPr>
    </w:lvl>
    <w:lvl w:ilvl="8" w:tplc="0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1">
    <w:nsid w:val="3F4B69FD"/>
    <w:multiLevelType w:val="hybridMultilevel"/>
    <w:tmpl w:val="40C08910"/>
    <w:lvl w:ilvl="0" w:tplc="97762960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23">
    <w:nsid w:val="411A4753"/>
    <w:multiLevelType w:val="hybridMultilevel"/>
    <w:tmpl w:val="20526B68"/>
    <w:numStyleLink w:val="Vietagrande"/>
  </w:abstractNum>
  <w:abstractNum w:abstractNumId="24">
    <w:nsid w:val="44827878"/>
    <w:multiLevelType w:val="hybridMultilevel"/>
    <w:tmpl w:val="D0DAF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E46F80"/>
    <w:multiLevelType w:val="hybridMultilevel"/>
    <w:tmpl w:val="30B60C86"/>
    <w:lvl w:ilvl="0" w:tplc="D0CA95BC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E1597B"/>
    <w:multiLevelType w:val="hybridMultilevel"/>
    <w:tmpl w:val="F90E4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4F2724"/>
    <w:multiLevelType w:val="hybridMultilevel"/>
    <w:tmpl w:val="89C833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8F135B"/>
    <w:multiLevelType w:val="hybridMultilevel"/>
    <w:tmpl w:val="8F4CD7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E8358A"/>
    <w:multiLevelType w:val="hybridMultilevel"/>
    <w:tmpl w:val="3D344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B24707"/>
    <w:multiLevelType w:val="hybridMultilevel"/>
    <w:tmpl w:val="75BE7128"/>
    <w:lvl w:ilvl="0" w:tplc="8E9A4458">
      <w:numFmt w:val="bullet"/>
      <w:lvlText w:val="·"/>
      <w:lvlJc w:val="left"/>
      <w:pPr>
        <w:ind w:left="836" w:hanging="552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67F86CCA"/>
    <w:multiLevelType w:val="hybridMultilevel"/>
    <w:tmpl w:val="AF2A90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0">
    <w:nsid w:val="6D220DC8"/>
    <w:multiLevelType w:val="hybridMultilevel"/>
    <w:tmpl w:val="05FE63A4"/>
    <w:lvl w:ilvl="0" w:tplc="E9FE4C9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36A69DB"/>
    <w:multiLevelType w:val="hybridMultilevel"/>
    <w:tmpl w:val="652E14C0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2">
    <w:nsid w:val="752E4304"/>
    <w:multiLevelType w:val="hybridMultilevel"/>
    <w:tmpl w:val="69380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673E34"/>
    <w:multiLevelType w:val="hybridMultilevel"/>
    <w:tmpl w:val="01687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5579E0"/>
    <w:multiLevelType w:val="hybridMultilevel"/>
    <w:tmpl w:val="29EE0C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406F34"/>
    <w:multiLevelType w:val="hybridMultilevel"/>
    <w:tmpl w:val="E2F20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C765A0"/>
    <w:multiLevelType w:val="hybridMultilevel"/>
    <w:tmpl w:val="01324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7"/>
  </w:num>
  <w:num w:numId="3">
    <w:abstractNumId w:val="4"/>
  </w:num>
  <w:num w:numId="4">
    <w:abstractNumId w:val="26"/>
  </w:num>
  <w:num w:numId="5">
    <w:abstractNumId w:val="11"/>
  </w:num>
  <w:num w:numId="6">
    <w:abstractNumId w:val="13"/>
  </w:num>
  <w:num w:numId="7">
    <w:abstractNumId w:val="3"/>
  </w:num>
  <w:num w:numId="8">
    <w:abstractNumId w:val="6"/>
  </w:num>
  <w:num w:numId="9">
    <w:abstractNumId w:val="38"/>
  </w:num>
  <w:num w:numId="10">
    <w:abstractNumId w:val="0"/>
  </w:num>
  <w:num w:numId="11">
    <w:abstractNumId w:val="16"/>
  </w:num>
  <w:num w:numId="12">
    <w:abstractNumId w:val="28"/>
  </w:num>
  <w:num w:numId="13">
    <w:abstractNumId w:val="46"/>
  </w:num>
  <w:num w:numId="14">
    <w:abstractNumId w:val="9"/>
  </w:num>
  <w:num w:numId="15">
    <w:abstractNumId w:val="25"/>
  </w:num>
  <w:num w:numId="16">
    <w:abstractNumId w:val="29"/>
  </w:num>
  <w:num w:numId="17">
    <w:abstractNumId w:val="35"/>
  </w:num>
  <w:num w:numId="18">
    <w:abstractNumId w:val="39"/>
  </w:num>
  <w:num w:numId="19">
    <w:abstractNumId w:val="5"/>
  </w:num>
  <w:num w:numId="20">
    <w:abstractNumId w:val="14"/>
  </w:num>
  <w:num w:numId="21">
    <w:abstractNumId w:val="42"/>
  </w:num>
  <w:num w:numId="22">
    <w:abstractNumId w:val="15"/>
  </w:num>
  <w:num w:numId="23">
    <w:abstractNumId w:val="8"/>
  </w:num>
  <w:num w:numId="24">
    <w:abstractNumId w:val="36"/>
  </w:num>
  <w:num w:numId="25">
    <w:abstractNumId w:val="27"/>
  </w:num>
  <w:num w:numId="26">
    <w:abstractNumId w:val="21"/>
  </w:num>
  <w:num w:numId="27">
    <w:abstractNumId w:val="7"/>
  </w:num>
  <w:num w:numId="28">
    <w:abstractNumId w:val="44"/>
  </w:num>
  <w:num w:numId="29">
    <w:abstractNumId w:val="33"/>
  </w:num>
  <w:num w:numId="30">
    <w:abstractNumId w:val="10"/>
  </w:num>
  <w:num w:numId="31">
    <w:abstractNumId w:val="20"/>
  </w:num>
  <w:num w:numId="32">
    <w:abstractNumId w:val="1"/>
  </w:num>
  <w:num w:numId="33">
    <w:abstractNumId w:val="19"/>
  </w:num>
  <w:num w:numId="34">
    <w:abstractNumId w:val="22"/>
  </w:num>
  <w:num w:numId="35">
    <w:abstractNumId w:val="23"/>
  </w:num>
  <w:num w:numId="36">
    <w:abstractNumId w:val="41"/>
  </w:num>
  <w:num w:numId="37">
    <w:abstractNumId w:val="18"/>
  </w:num>
  <w:num w:numId="38">
    <w:abstractNumId w:val="24"/>
  </w:num>
  <w:num w:numId="39">
    <w:abstractNumId w:val="37"/>
  </w:num>
  <w:num w:numId="40">
    <w:abstractNumId w:val="47"/>
  </w:num>
  <w:num w:numId="41">
    <w:abstractNumId w:val="40"/>
  </w:num>
  <w:num w:numId="42">
    <w:abstractNumId w:val="32"/>
  </w:num>
  <w:num w:numId="43">
    <w:abstractNumId w:val="43"/>
  </w:num>
  <w:num w:numId="44">
    <w:abstractNumId w:val="2"/>
  </w:num>
  <w:num w:numId="45">
    <w:abstractNumId w:val="30"/>
  </w:num>
  <w:num w:numId="46">
    <w:abstractNumId w:val="31"/>
  </w:num>
  <w:num w:numId="47">
    <w:abstractNumId w:val="45"/>
  </w:num>
  <w:num w:numId="4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4A4D9-EB9F-4C4A-B56F-2FB27693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3</cp:revision>
  <cp:lastPrinted>2022-06-10T20:10:00Z</cp:lastPrinted>
  <dcterms:created xsi:type="dcterms:W3CDTF">2022-06-11T00:06:00Z</dcterms:created>
  <dcterms:modified xsi:type="dcterms:W3CDTF">2022-06-11T00:09:00Z</dcterms:modified>
</cp:coreProperties>
</file>