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4C025D4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909D6">
        <w:rPr>
          <w:rFonts w:ascii="Arial" w:hAnsi="Arial" w:cs="Arial"/>
          <w:b/>
          <w:sz w:val="24"/>
          <w:szCs w:val="24"/>
        </w:rPr>
        <w:t>0</w:t>
      </w:r>
      <w:r w:rsidR="001909D6" w:rsidRPr="001909D6">
        <w:rPr>
          <w:rFonts w:ascii="Arial" w:hAnsi="Arial" w:cs="Arial"/>
          <w:b/>
          <w:sz w:val="24"/>
          <w:szCs w:val="24"/>
        </w:rPr>
        <w:t>9</w:t>
      </w:r>
      <w:r w:rsidR="00205730">
        <w:rPr>
          <w:rFonts w:ascii="Arial" w:hAnsi="Arial" w:cs="Arial"/>
          <w:b/>
          <w:sz w:val="24"/>
          <w:szCs w:val="24"/>
        </w:rPr>
        <w:t>6</w:t>
      </w:r>
      <w:r w:rsidR="0049457C" w:rsidRPr="001909D6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8C7B4C5" w14:textId="77777777" w:rsidR="00BE2375" w:rsidRPr="00FC04DE" w:rsidRDefault="00BE2375" w:rsidP="00BE2375">
      <w:pPr>
        <w:jc w:val="center"/>
        <w:rPr>
          <w:rFonts w:ascii="Arial" w:hAnsi="Arial" w:cs="Arial"/>
          <w:b/>
          <w:sz w:val="12"/>
          <w:szCs w:val="12"/>
        </w:rPr>
      </w:pPr>
    </w:p>
    <w:p w14:paraId="1FECB8F7" w14:textId="79C59915" w:rsidR="004D380A" w:rsidRPr="00FF53CB" w:rsidRDefault="004D380A" w:rsidP="00316B2F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36"/>
          <w:lang w:val="es-ES"/>
        </w:rPr>
      </w:pPr>
      <w:r w:rsidRPr="00FF53CB">
        <w:rPr>
          <w:rFonts w:ascii="Arial" w:hAnsi="Arial" w:cs="Arial"/>
          <w:b/>
          <w:bCs/>
          <w:sz w:val="24"/>
          <w:szCs w:val="16"/>
        </w:rPr>
        <w:t> </w:t>
      </w:r>
      <w:r w:rsidR="00316B2F">
        <w:rPr>
          <w:rFonts w:ascii="Arial" w:hAnsi="Arial" w:cs="Arial"/>
          <w:b/>
          <w:bCs/>
          <w:sz w:val="36"/>
          <w:lang w:val="es-ES"/>
        </w:rPr>
        <w:t>UABC cumple al 100 % las obligaciones de transparencia</w:t>
      </w:r>
    </w:p>
    <w:p w14:paraId="06EAC410" w14:textId="77777777" w:rsidR="009D09FD" w:rsidRPr="002C4A11" w:rsidRDefault="009D09FD" w:rsidP="009D09FD">
      <w:p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C4A11">
        <w:rPr>
          <w:rFonts w:ascii="Arial" w:hAnsi="Arial" w:cs="Arial"/>
          <w:sz w:val="20"/>
          <w:szCs w:val="20"/>
        </w:rPr>
        <w:t> </w:t>
      </w:r>
    </w:p>
    <w:p w14:paraId="77705A66" w14:textId="20CE9C6C" w:rsidR="009D09FD" w:rsidRPr="00544CF0" w:rsidRDefault="002C4A11" w:rsidP="00544CF0">
      <w:pPr>
        <w:pStyle w:val="Prrafodelista"/>
        <w:numPr>
          <w:ilvl w:val="0"/>
          <w:numId w:val="4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Por segundo año consecutivo fue distinguida la universidad con este índice de cumplimiento. </w:t>
      </w:r>
    </w:p>
    <w:p w14:paraId="2C48EAED" w14:textId="77777777" w:rsidR="009D09FD" w:rsidRPr="002C4A11" w:rsidRDefault="009D09FD" w:rsidP="009D09FD">
      <w:pPr>
        <w:suppressAutoHyphens w:val="0"/>
        <w:autoSpaceDN/>
        <w:jc w:val="center"/>
        <w:textAlignment w:val="auto"/>
        <w:rPr>
          <w:rFonts w:ascii="Arial" w:hAnsi="Arial" w:cs="Arial"/>
          <w:sz w:val="20"/>
          <w:szCs w:val="20"/>
        </w:rPr>
      </w:pPr>
      <w:r w:rsidRPr="002C4A11">
        <w:rPr>
          <w:rFonts w:ascii="Arial" w:hAnsi="Arial" w:cs="Arial"/>
          <w:b/>
          <w:bCs/>
          <w:sz w:val="20"/>
          <w:szCs w:val="20"/>
        </w:rPr>
        <w:t> </w:t>
      </w:r>
    </w:p>
    <w:p w14:paraId="27DC9E68" w14:textId="5E63F323" w:rsidR="00205730" w:rsidRPr="00316B2F" w:rsidRDefault="009D09FD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316B2F">
        <w:rPr>
          <w:rFonts w:ascii="Arial" w:hAnsi="Arial" w:cs="Arial"/>
          <w:b/>
          <w:bCs/>
          <w:lang w:val="es-MX"/>
        </w:rPr>
        <w:t xml:space="preserve">Mexicali, Baja California, </w:t>
      </w:r>
      <w:r w:rsidR="00205730" w:rsidRPr="00316B2F">
        <w:rPr>
          <w:rFonts w:ascii="Arial" w:hAnsi="Arial" w:cs="Arial"/>
          <w:b/>
          <w:bCs/>
          <w:lang w:val="es-MX"/>
        </w:rPr>
        <w:t>miércoles 22</w:t>
      </w:r>
      <w:r w:rsidRPr="00316B2F">
        <w:rPr>
          <w:rFonts w:ascii="Arial" w:hAnsi="Arial" w:cs="Arial"/>
          <w:b/>
          <w:bCs/>
          <w:lang w:val="es-MX"/>
        </w:rPr>
        <w:t xml:space="preserve"> de junio de 2022.-</w:t>
      </w:r>
      <w:r w:rsidRPr="00316B2F">
        <w:rPr>
          <w:rFonts w:ascii="Arial" w:hAnsi="Arial" w:cs="Arial"/>
          <w:lang w:val="es-MX"/>
        </w:rPr>
        <w:t xml:space="preserve"> </w:t>
      </w:r>
      <w:r w:rsidR="00205730" w:rsidRPr="00316B2F">
        <w:rPr>
          <w:rFonts w:ascii="Arial" w:hAnsi="Arial" w:cs="Arial"/>
          <w:lang w:val="es-MX"/>
        </w:rPr>
        <w:t>El pleno del Instituto de Transparencia, Acceso a la Información Pública y Protección de Datos Personales del Estado de Baja California (ITAIPBC), otorgó a la</w:t>
      </w:r>
      <w:r w:rsidR="00316B2F" w:rsidRPr="00316B2F">
        <w:rPr>
          <w:rFonts w:ascii="Arial" w:hAnsi="Arial" w:cs="Arial"/>
          <w:lang w:val="es-MX"/>
        </w:rPr>
        <w:t xml:space="preserve"> Universidad Autónoma de Baja California (UABC)</w:t>
      </w:r>
      <w:r w:rsidR="00205730" w:rsidRPr="00316B2F">
        <w:rPr>
          <w:rFonts w:ascii="Arial" w:hAnsi="Arial" w:cs="Arial"/>
          <w:lang w:val="es-MX"/>
        </w:rPr>
        <w:t xml:space="preserve"> el 100 % de índice de cumplimiento sobre las Obligaciones de Transparencia de los cuatro trimestres del ejercicio fiscal 2021.</w:t>
      </w:r>
    </w:p>
    <w:p w14:paraId="55B5BFD1" w14:textId="77777777" w:rsidR="00205730" w:rsidRPr="0027111A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57EC74B3" w14:textId="6B6CA768" w:rsidR="00205730" w:rsidRPr="00316B2F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316B2F">
        <w:rPr>
          <w:rFonts w:ascii="Arial" w:hAnsi="Arial" w:cs="Arial"/>
          <w:lang w:val="es-MX"/>
        </w:rPr>
        <w:t xml:space="preserve">La UABC, en su carácter de sujeto obligado, tiene el deber de alimentar y actualizar la Plataforma Nacional de Transparencia de manera trimestral </w:t>
      </w:r>
      <w:r w:rsidR="00544CF0">
        <w:rPr>
          <w:rFonts w:ascii="Arial" w:hAnsi="Arial" w:cs="Arial"/>
          <w:lang w:val="es-MX"/>
        </w:rPr>
        <w:t xml:space="preserve">cumpliendo con </w:t>
      </w:r>
      <w:r w:rsidRPr="00316B2F">
        <w:rPr>
          <w:rFonts w:ascii="Arial" w:hAnsi="Arial" w:cs="Arial"/>
          <w:lang w:val="es-MX"/>
        </w:rPr>
        <w:t>la Ley General de Transparencia y Acceso a la Información Pública.</w:t>
      </w:r>
      <w:r w:rsidR="00544CF0">
        <w:rPr>
          <w:rFonts w:ascii="Arial" w:hAnsi="Arial" w:cs="Arial"/>
          <w:lang w:val="es-MX"/>
        </w:rPr>
        <w:t xml:space="preserve"> </w:t>
      </w:r>
      <w:r w:rsidRPr="00316B2F">
        <w:rPr>
          <w:rFonts w:ascii="Arial" w:hAnsi="Arial" w:cs="Arial"/>
          <w:lang w:val="es-MX"/>
        </w:rPr>
        <w:t xml:space="preserve">El ITAIPBC evalúa el cumplimiento de las obligaciones de transparencia que deben publicar los sujetos obligados del Estado de Baja California en los portales de internet y/o Plataforma Nacional de Transparencia. </w:t>
      </w:r>
    </w:p>
    <w:p w14:paraId="2545DE22" w14:textId="77777777" w:rsidR="00205730" w:rsidRPr="0027111A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MX"/>
        </w:rPr>
      </w:pPr>
    </w:p>
    <w:p w14:paraId="04678670" w14:textId="055CEBC9" w:rsidR="00205730" w:rsidRPr="00316B2F" w:rsidRDefault="00316B2F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iCs/>
          <w:lang w:val="es-MX"/>
        </w:rPr>
      </w:pPr>
      <w:r>
        <w:rPr>
          <w:rFonts w:ascii="Arial" w:hAnsi="Arial" w:cs="Arial"/>
          <w:iCs/>
          <w:lang w:val="es-MX"/>
        </w:rPr>
        <w:t>"Por segundo año consecutivo</w:t>
      </w:r>
      <w:r w:rsidR="00205730" w:rsidRPr="00316B2F">
        <w:rPr>
          <w:rFonts w:ascii="Arial" w:hAnsi="Arial" w:cs="Arial"/>
          <w:iCs/>
          <w:lang w:val="es-MX"/>
        </w:rPr>
        <w:t xml:space="preserve"> la UABC fue distinguida por cumplir al 100 % con sus obligaciones en materia de transparencia y en el manejo de información oportuna que</w:t>
      </w:r>
      <w:r>
        <w:rPr>
          <w:rFonts w:ascii="Arial" w:hAnsi="Arial" w:cs="Arial"/>
          <w:iCs/>
          <w:lang w:val="es-MX"/>
        </w:rPr>
        <w:t>,</w:t>
      </w:r>
      <w:r w:rsidR="00205730" w:rsidRPr="00316B2F">
        <w:rPr>
          <w:rFonts w:ascii="Arial" w:hAnsi="Arial" w:cs="Arial"/>
          <w:iCs/>
          <w:lang w:val="es-MX"/>
        </w:rPr>
        <w:t xml:space="preserve"> como sujeto obligado</w:t>
      </w:r>
      <w:r>
        <w:rPr>
          <w:rFonts w:ascii="Arial" w:hAnsi="Arial" w:cs="Arial"/>
          <w:iCs/>
          <w:lang w:val="es-MX"/>
        </w:rPr>
        <w:t>,</w:t>
      </w:r>
      <w:r w:rsidR="00205730" w:rsidRPr="00316B2F">
        <w:rPr>
          <w:rFonts w:ascii="Arial" w:hAnsi="Arial" w:cs="Arial"/>
          <w:iCs/>
          <w:lang w:val="es-MX"/>
        </w:rPr>
        <w:t xml:space="preserve"> debe difundir en la Plataforma  Nacional de Transparencia”, expresó la maestra Karina Cárdenas Rodríguez, coordinadora de la Unidad de Transparencia y Acceso a la Información de la UABC.</w:t>
      </w:r>
    </w:p>
    <w:p w14:paraId="129D2020" w14:textId="77777777" w:rsidR="00205730" w:rsidRPr="0027111A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iCs/>
          <w:sz w:val="20"/>
          <w:szCs w:val="20"/>
          <w:lang w:val="es-MX"/>
        </w:rPr>
      </w:pPr>
    </w:p>
    <w:p w14:paraId="30E63043" w14:textId="77777777" w:rsidR="00205730" w:rsidRPr="00316B2F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iCs/>
          <w:lang w:val="es-MX"/>
        </w:rPr>
      </w:pPr>
      <w:r w:rsidRPr="00316B2F">
        <w:rPr>
          <w:rFonts w:ascii="Arial" w:hAnsi="Arial" w:cs="Arial"/>
          <w:iCs/>
          <w:lang w:val="es-MX"/>
        </w:rPr>
        <w:t>Resaltó que fue la propia Universidad la que solicitó que en la verificación se considerara la información pública generada durante los cuatro trimestres del año 2021, a diferencia de otros sujetos obligados a los cuales solo se verificó uno o dos trimestres. Destacó que esta casa de estudios no recibió ninguna retroalimentación ni plazo para subsanar observaciones.</w:t>
      </w:r>
    </w:p>
    <w:p w14:paraId="09D63C81" w14:textId="77777777" w:rsidR="00205730" w:rsidRPr="0027111A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iCs/>
          <w:sz w:val="20"/>
          <w:szCs w:val="20"/>
          <w:lang w:val="es-MX"/>
        </w:rPr>
      </w:pPr>
    </w:p>
    <w:p w14:paraId="7ADBE33F" w14:textId="77777777" w:rsidR="00205730" w:rsidRPr="00316B2F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iCs/>
          <w:lang w:val="es-MX"/>
        </w:rPr>
      </w:pPr>
      <w:r w:rsidRPr="00316B2F">
        <w:rPr>
          <w:rFonts w:ascii="Arial" w:hAnsi="Arial" w:cs="Arial"/>
          <w:iCs/>
          <w:lang w:val="es-MX"/>
        </w:rPr>
        <w:t>“De esta forma, la máxima casa de estudios refrenda su compromiso institucional con los procesos de rendición de cuentas y fortalece la cultura de la legalidad, transparencia, y acceso a la información como lo ha instruido el rector, doctor Daniel Octavio Valdez Delgadillo", señaló la coordinadora de Transparencia.</w:t>
      </w:r>
    </w:p>
    <w:p w14:paraId="60A9E58A" w14:textId="77777777" w:rsidR="00205730" w:rsidRPr="0027111A" w:rsidRDefault="00205730" w:rsidP="0020573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iCs/>
          <w:sz w:val="20"/>
          <w:szCs w:val="20"/>
          <w:lang w:val="es-MX"/>
        </w:rPr>
      </w:pPr>
      <w:bookmarkStart w:id="0" w:name="_GoBack"/>
    </w:p>
    <w:bookmarkEnd w:id="0"/>
    <w:p w14:paraId="3F02E7F8" w14:textId="34BDE945" w:rsidR="008B79E2" w:rsidRPr="009056BA" w:rsidRDefault="00205730" w:rsidP="00A15680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316B2F">
        <w:rPr>
          <w:rFonts w:ascii="Arial" w:hAnsi="Arial" w:cs="Arial"/>
          <w:lang w:val="es-MX"/>
        </w:rPr>
        <w:t xml:space="preserve">Finalmente, la maestra Cárdenas Rodríguez mencionó que se está trabajando en el lanzamiento </w:t>
      </w:r>
      <w:r w:rsidRPr="00544CF0">
        <w:rPr>
          <w:rFonts w:ascii="Arial" w:hAnsi="Arial" w:cs="Arial"/>
          <w:spacing w:val="-2"/>
          <w:lang w:val="es-MX"/>
        </w:rPr>
        <w:t>del primer Diplomado en Transparencia y Acceso a la Información para el semestre 2022-2</w:t>
      </w:r>
      <w:r w:rsidR="008F0514" w:rsidRPr="00544CF0">
        <w:rPr>
          <w:rFonts w:ascii="Arial" w:hAnsi="Arial" w:cs="Arial"/>
          <w:spacing w:val="-2"/>
          <w:lang w:val="es-MX"/>
        </w:rPr>
        <w:t xml:space="preserve">. Además, se </w:t>
      </w:r>
      <w:r w:rsidRPr="00544CF0">
        <w:rPr>
          <w:rFonts w:ascii="Arial" w:hAnsi="Arial" w:cs="Arial"/>
          <w:spacing w:val="-2"/>
          <w:lang w:val="es-MX"/>
        </w:rPr>
        <w:t>continúa impulsando el Programa Anual de Capacitación en Transparencia, Protección de Datos y Gestión Documental</w:t>
      </w:r>
      <w:r w:rsidR="00544CF0" w:rsidRPr="00544CF0">
        <w:rPr>
          <w:rFonts w:ascii="Arial" w:hAnsi="Arial" w:cs="Arial"/>
          <w:spacing w:val="-2"/>
          <w:lang w:val="es-MX"/>
        </w:rPr>
        <w:t>, el cual impartirá tres cursos más en lo que resta del año.</w:t>
      </w:r>
      <w:r w:rsidR="00A15680">
        <w:rPr>
          <w:rFonts w:ascii="Arial" w:hAnsi="Arial" w:cs="Arial"/>
          <w:spacing w:val="-2"/>
          <w:lang w:val="es-MX"/>
        </w:rPr>
        <w:t xml:space="preserve"> Mayor información sobre los cursos de capacitación, se puede solicitar </w:t>
      </w:r>
      <w:r w:rsidR="00544CF0" w:rsidRPr="009056BA">
        <w:rPr>
          <w:rFonts w:ascii="Arial" w:hAnsi="Arial" w:cs="Arial"/>
          <w:color w:val="222222"/>
          <w:lang w:val="es-MX"/>
        </w:rPr>
        <w:t>al c</w:t>
      </w:r>
      <w:r w:rsidR="00544CF0" w:rsidRPr="009056BA">
        <w:rPr>
          <w:rFonts w:ascii="Arial" w:hAnsi="Arial" w:cs="Arial"/>
          <w:color w:val="222222"/>
          <w:lang w:val="es-MX"/>
        </w:rPr>
        <w:t>orreo</w:t>
      </w:r>
      <w:r w:rsidR="00544CF0" w:rsidRPr="009056BA">
        <w:rPr>
          <w:rFonts w:ascii="Arial" w:hAnsi="Arial" w:cs="Arial"/>
          <w:color w:val="222222"/>
          <w:lang w:val="es-MX"/>
        </w:rPr>
        <w:t xml:space="preserve"> electrónico: </w:t>
      </w:r>
      <w:hyperlink r:id="rId10" w:history="1">
        <w:r w:rsidR="00544CF0" w:rsidRPr="009056BA">
          <w:rPr>
            <w:rStyle w:val="Hipervnculo"/>
            <w:rFonts w:ascii="Arial" w:hAnsi="Arial" w:cs="Arial"/>
            <w:lang w:val="es-MX"/>
          </w:rPr>
          <w:t>transparencia@uabc.edu.mx</w:t>
        </w:r>
      </w:hyperlink>
      <w:r w:rsidR="00A15680" w:rsidRPr="009056BA">
        <w:rPr>
          <w:rFonts w:ascii="Arial" w:hAnsi="Arial" w:cs="Arial"/>
          <w:color w:val="222222"/>
          <w:lang w:val="es-MX"/>
        </w:rPr>
        <w:t xml:space="preserve"> y </w:t>
      </w:r>
      <w:r w:rsidR="00544CF0" w:rsidRPr="009056BA">
        <w:rPr>
          <w:rFonts w:ascii="Arial" w:hAnsi="Arial" w:cs="Arial"/>
          <w:color w:val="222222"/>
          <w:lang w:val="es-MX"/>
        </w:rPr>
        <w:t>al número telefónico 686-551-8232, extensiones 33090 y 33095.</w:t>
      </w:r>
    </w:p>
    <w:p w14:paraId="7BA6BBCC" w14:textId="08D5F2C1" w:rsidR="00DE72BA" w:rsidRPr="009056BA" w:rsidRDefault="00DE72BA" w:rsidP="009D09F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</w:p>
    <w:sectPr w:rsidR="00DE72BA" w:rsidRPr="009056BA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A3975" w14:textId="77777777" w:rsidR="004B0C97" w:rsidRDefault="004B0C97">
      <w:r>
        <w:separator/>
      </w:r>
    </w:p>
  </w:endnote>
  <w:endnote w:type="continuationSeparator" w:id="0">
    <w:p w14:paraId="171C7242" w14:textId="77777777" w:rsidR="004B0C97" w:rsidRDefault="004B0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2D3855" w14:textId="77777777" w:rsidR="004B0C97" w:rsidRDefault="004B0C97">
      <w:r>
        <w:rPr>
          <w:color w:val="000000"/>
        </w:rPr>
        <w:separator/>
      </w:r>
    </w:p>
  </w:footnote>
  <w:footnote w:type="continuationSeparator" w:id="0">
    <w:p w14:paraId="62CD37CC" w14:textId="77777777" w:rsidR="004B0C97" w:rsidRDefault="004B0C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ransparencia@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AAED1-67DC-47C0-ACB6-DF224451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434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9</cp:revision>
  <cp:lastPrinted>2022-06-21T21:41:00Z</cp:lastPrinted>
  <dcterms:created xsi:type="dcterms:W3CDTF">2022-06-22T17:02:00Z</dcterms:created>
  <dcterms:modified xsi:type="dcterms:W3CDTF">2022-06-22T20:16:00Z</dcterms:modified>
</cp:coreProperties>
</file>