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5266699B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865405">
        <w:rPr>
          <w:rFonts w:ascii="Arial" w:hAnsi="Arial" w:cs="Arial"/>
          <w:b/>
          <w:sz w:val="24"/>
          <w:szCs w:val="24"/>
        </w:rPr>
        <w:t>3</w:t>
      </w:r>
      <w:r w:rsidR="007A00FA">
        <w:rPr>
          <w:rFonts w:ascii="Arial" w:hAnsi="Arial" w:cs="Arial"/>
          <w:b/>
          <w:sz w:val="24"/>
          <w:szCs w:val="24"/>
        </w:rPr>
        <w:t>3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856C684" w14:textId="77777777" w:rsidR="00C86BBC" w:rsidRDefault="00855CAB" w:rsidP="00C86BBC">
      <w:pPr>
        <w:autoSpaceDN/>
        <w:jc w:val="center"/>
        <w:rPr>
          <w:rFonts w:ascii="Arial" w:hAnsi="Arial" w:cs="Arial"/>
          <w:b/>
          <w:color w:val="262626"/>
          <w:sz w:val="36"/>
          <w:szCs w:val="36"/>
          <w:bdr w:val="none" w:sz="0" w:space="0" w:color="auto" w:frame="1"/>
        </w:rPr>
      </w:pPr>
      <w:r w:rsidRPr="00855CAB">
        <w:rPr>
          <w:rFonts w:ascii="Arial" w:hAnsi="Arial" w:cs="Arial"/>
          <w:color w:val="262626"/>
          <w:sz w:val="16"/>
          <w:szCs w:val="16"/>
          <w:bdr w:val="none" w:sz="0" w:space="0" w:color="auto" w:frame="1"/>
        </w:rPr>
        <w:br/>
      </w:r>
      <w:r w:rsidR="00C86BBC" w:rsidRPr="00C86BBC">
        <w:rPr>
          <w:rFonts w:ascii="Arial" w:hAnsi="Arial" w:cs="Arial"/>
          <w:b/>
          <w:color w:val="262626"/>
          <w:sz w:val="36"/>
          <w:szCs w:val="36"/>
          <w:bdr w:val="none" w:sz="0" w:space="0" w:color="auto" w:frame="1"/>
        </w:rPr>
        <w:t>Inauguran edificio en</w:t>
      </w:r>
      <w:r w:rsidRPr="00855CAB">
        <w:rPr>
          <w:rFonts w:ascii="Arial" w:hAnsi="Arial" w:cs="Arial"/>
          <w:b/>
          <w:color w:val="262626"/>
          <w:sz w:val="36"/>
          <w:szCs w:val="36"/>
          <w:bdr w:val="none" w:sz="0" w:space="0" w:color="auto" w:frame="1"/>
        </w:rPr>
        <w:t xml:space="preserve"> la Facultad de Humanidades </w:t>
      </w:r>
    </w:p>
    <w:p w14:paraId="61A4597D" w14:textId="540A8779" w:rsidR="00855CAB" w:rsidRPr="00855CAB" w:rsidRDefault="00855CAB" w:rsidP="00C86BBC">
      <w:pPr>
        <w:autoSpaceDN/>
        <w:jc w:val="center"/>
        <w:rPr>
          <w:rFonts w:ascii="Arial" w:hAnsi="Arial" w:cs="Arial"/>
          <w:b/>
          <w:color w:val="262626"/>
          <w:sz w:val="36"/>
          <w:szCs w:val="36"/>
        </w:rPr>
      </w:pPr>
      <w:proofErr w:type="gramStart"/>
      <w:r w:rsidRPr="00855CAB">
        <w:rPr>
          <w:rFonts w:ascii="Arial" w:hAnsi="Arial" w:cs="Arial"/>
          <w:b/>
          <w:color w:val="262626"/>
          <w:sz w:val="36"/>
          <w:szCs w:val="36"/>
          <w:bdr w:val="none" w:sz="0" w:space="0" w:color="auto" w:frame="1"/>
        </w:rPr>
        <w:t>y</w:t>
      </w:r>
      <w:proofErr w:type="gramEnd"/>
      <w:r w:rsidRPr="00855CAB">
        <w:rPr>
          <w:rFonts w:ascii="Arial" w:hAnsi="Arial" w:cs="Arial"/>
          <w:b/>
          <w:color w:val="262626"/>
          <w:sz w:val="36"/>
          <w:szCs w:val="36"/>
          <w:bdr w:val="none" w:sz="0" w:space="0" w:color="auto" w:frame="1"/>
        </w:rPr>
        <w:t xml:space="preserve"> Ciencias Sociales</w:t>
      </w:r>
      <w:r w:rsidR="00C86BBC">
        <w:rPr>
          <w:rFonts w:ascii="Arial" w:hAnsi="Arial" w:cs="Arial"/>
          <w:b/>
          <w:color w:val="262626"/>
          <w:sz w:val="36"/>
          <w:szCs w:val="36"/>
          <w:bdr w:val="none" w:sz="0" w:space="0" w:color="auto" w:frame="1"/>
        </w:rPr>
        <w:t xml:space="preserve"> de la UABC</w:t>
      </w:r>
    </w:p>
    <w:p w14:paraId="790A0C90" w14:textId="77777777" w:rsidR="00855CAB" w:rsidRPr="0038172D" w:rsidRDefault="00855CAB" w:rsidP="00C86BBC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5B34B753" w14:textId="603D666F" w:rsidR="0038172D" w:rsidRPr="0038172D" w:rsidRDefault="0038172D" w:rsidP="0038172D">
      <w:pPr>
        <w:pStyle w:val="Prrafodelista"/>
        <w:numPr>
          <w:ilvl w:val="0"/>
          <w:numId w:val="27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38172D">
        <w:rPr>
          <w:rFonts w:ascii="Arial" w:hAnsi="Arial" w:cs="Arial"/>
          <w:sz w:val="24"/>
          <w:szCs w:val="24"/>
        </w:rPr>
        <w:t>e atenderán los posgrados</w:t>
      </w:r>
      <w:r w:rsidR="00FD6BCF">
        <w:rPr>
          <w:rFonts w:ascii="Arial" w:hAnsi="Arial" w:cs="Arial"/>
          <w:sz w:val="24"/>
          <w:szCs w:val="24"/>
        </w:rPr>
        <w:t xml:space="preserve"> y</w:t>
      </w:r>
      <w:r w:rsidRPr="0038172D">
        <w:rPr>
          <w:rFonts w:ascii="Arial" w:hAnsi="Arial" w:cs="Arial"/>
          <w:sz w:val="24"/>
          <w:szCs w:val="24"/>
        </w:rPr>
        <w:t xml:space="preserve"> a más de 2,000 estudiantes</w:t>
      </w:r>
      <w:r w:rsidR="00FD6BCF">
        <w:rPr>
          <w:rFonts w:ascii="Arial" w:hAnsi="Arial" w:cs="Arial"/>
          <w:sz w:val="24"/>
          <w:szCs w:val="24"/>
        </w:rPr>
        <w:t>.</w:t>
      </w:r>
    </w:p>
    <w:p w14:paraId="6A1424EE" w14:textId="77777777" w:rsidR="00C86BBC" w:rsidRPr="0038172D" w:rsidRDefault="00C86BBC" w:rsidP="00C86BBC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38889C09" w14:textId="29B15C93" w:rsidR="00C86BBC" w:rsidRPr="003217E7" w:rsidRDefault="00C86BBC" w:rsidP="00C86BB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C86BBC">
        <w:rPr>
          <w:rFonts w:ascii="Arial" w:hAnsi="Arial" w:cs="Arial"/>
          <w:b/>
          <w:sz w:val="24"/>
          <w:szCs w:val="24"/>
        </w:rPr>
        <w:t>Tijuana, Baja California, miércoles 21 de septiembre de 2022</w:t>
      </w:r>
      <w:r>
        <w:rPr>
          <w:rFonts w:ascii="Arial" w:hAnsi="Arial" w:cs="Arial"/>
          <w:sz w:val="24"/>
          <w:szCs w:val="24"/>
        </w:rPr>
        <w:t xml:space="preserve">.- </w:t>
      </w:r>
      <w:r w:rsidR="003217E7">
        <w:rPr>
          <w:rFonts w:ascii="Arial" w:hAnsi="Arial" w:cs="Arial"/>
          <w:sz w:val="24"/>
          <w:szCs w:val="24"/>
        </w:rPr>
        <w:t>Se inauguró el séptimo edificio de la Faculta</w:t>
      </w:r>
      <w:r w:rsidR="00B60610">
        <w:rPr>
          <w:rFonts w:ascii="Arial" w:hAnsi="Arial" w:cs="Arial"/>
          <w:sz w:val="24"/>
          <w:szCs w:val="24"/>
        </w:rPr>
        <w:t>d</w:t>
      </w:r>
      <w:r w:rsidR="003217E7">
        <w:rPr>
          <w:rFonts w:ascii="Arial" w:hAnsi="Arial" w:cs="Arial"/>
          <w:sz w:val="24"/>
          <w:szCs w:val="24"/>
        </w:rPr>
        <w:t xml:space="preserve"> de Humanidades y Ciencias Sociales (</w:t>
      </w:r>
      <w:proofErr w:type="spellStart"/>
      <w:r w:rsidR="003217E7">
        <w:rPr>
          <w:rFonts w:ascii="Arial" w:hAnsi="Arial" w:cs="Arial"/>
          <w:sz w:val="24"/>
          <w:szCs w:val="24"/>
        </w:rPr>
        <w:t>FHyCS</w:t>
      </w:r>
      <w:proofErr w:type="spellEnd"/>
      <w:r w:rsidR="003217E7">
        <w:rPr>
          <w:rFonts w:ascii="Arial" w:hAnsi="Arial" w:cs="Arial"/>
          <w:sz w:val="24"/>
          <w:szCs w:val="24"/>
        </w:rPr>
        <w:t xml:space="preserve">) de la Universidad </w:t>
      </w:r>
      <w:r w:rsidR="003217E7" w:rsidRPr="003217E7">
        <w:rPr>
          <w:rFonts w:ascii="Arial" w:hAnsi="Arial" w:cs="Arial"/>
          <w:sz w:val="24"/>
          <w:szCs w:val="24"/>
        </w:rPr>
        <w:t>A</w:t>
      </w:r>
      <w:r w:rsidRPr="003217E7">
        <w:rPr>
          <w:rFonts w:ascii="Arial" w:hAnsi="Arial" w:cs="Arial"/>
          <w:sz w:val="24"/>
          <w:szCs w:val="24"/>
        </w:rPr>
        <w:t>utónoma de Baja Ca</w:t>
      </w:r>
      <w:r w:rsidR="003217E7">
        <w:rPr>
          <w:rFonts w:ascii="Arial" w:hAnsi="Arial" w:cs="Arial"/>
          <w:sz w:val="24"/>
          <w:szCs w:val="24"/>
        </w:rPr>
        <w:t>lifornia (UABC), Campus Tijuana, el cual tuvo una inversión superior a los 26 millones de pesos y donde se atenderán</w:t>
      </w:r>
      <w:r w:rsidR="0038172D">
        <w:rPr>
          <w:rFonts w:ascii="Arial" w:hAnsi="Arial" w:cs="Arial"/>
          <w:sz w:val="24"/>
          <w:szCs w:val="24"/>
        </w:rPr>
        <w:t xml:space="preserve"> los posgrados,</w:t>
      </w:r>
      <w:r w:rsidR="003217E7">
        <w:rPr>
          <w:rFonts w:ascii="Arial" w:hAnsi="Arial" w:cs="Arial"/>
          <w:sz w:val="24"/>
          <w:szCs w:val="24"/>
        </w:rPr>
        <w:t xml:space="preserve"> a más de 2,000 estudiantes y 175 integrantes de la planta docente y administrativa.</w:t>
      </w:r>
    </w:p>
    <w:p w14:paraId="6BD6D750" w14:textId="77777777" w:rsidR="00C86BBC" w:rsidRPr="003217E7" w:rsidRDefault="00C86BBC" w:rsidP="00C86BBC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195190FD" w14:textId="12B9D94F" w:rsidR="003217E7" w:rsidRPr="00855CAB" w:rsidRDefault="003217E7" w:rsidP="003217E7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 w:rsidRPr="003217E7">
        <w:rPr>
          <w:rFonts w:ascii="Arial" w:hAnsi="Arial" w:cs="Arial"/>
          <w:sz w:val="24"/>
          <w:szCs w:val="24"/>
        </w:rPr>
        <w:t>El r</w:t>
      </w:r>
      <w:r w:rsidR="00C86BBC" w:rsidRPr="003217E7">
        <w:rPr>
          <w:rFonts w:ascii="Arial" w:hAnsi="Arial" w:cs="Arial"/>
          <w:sz w:val="24"/>
          <w:szCs w:val="24"/>
        </w:rPr>
        <w:t xml:space="preserve">ector de </w:t>
      </w:r>
      <w:r w:rsidRPr="003217E7">
        <w:rPr>
          <w:rFonts w:ascii="Arial" w:hAnsi="Arial" w:cs="Arial"/>
          <w:sz w:val="24"/>
          <w:szCs w:val="24"/>
        </w:rPr>
        <w:t>UABC</w:t>
      </w:r>
      <w:r w:rsidR="00C86BBC" w:rsidRPr="003217E7">
        <w:rPr>
          <w:rFonts w:ascii="Arial" w:hAnsi="Arial" w:cs="Arial"/>
          <w:sz w:val="24"/>
          <w:szCs w:val="24"/>
        </w:rPr>
        <w:t xml:space="preserve">, doctor </w:t>
      </w:r>
      <w:r w:rsidRPr="003217E7">
        <w:rPr>
          <w:rFonts w:ascii="Arial" w:hAnsi="Arial" w:cs="Arial"/>
          <w:sz w:val="24"/>
          <w:szCs w:val="24"/>
        </w:rPr>
        <w:t>Daniel Octavio Valdez Delgadillo</w:t>
      </w:r>
      <w:r w:rsidR="00C86BBC" w:rsidRPr="003217E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señaló</w:t>
      </w:r>
      <w:r w:rsidR="00C86BBC" w:rsidRPr="003217E7">
        <w:rPr>
          <w:rFonts w:ascii="Arial" w:hAnsi="Arial" w:cs="Arial"/>
          <w:sz w:val="24"/>
          <w:szCs w:val="24"/>
        </w:rPr>
        <w:t xml:space="preserve"> que </w:t>
      </w:r>
      <w:r w:rsidRPr="003217E7">
        <w:rPr>
          <w:rFonts w:ascii="Arial" w:hAnsi="Arial" w:cs="Arial"/>
          <w:sz w:val="24"/>
          <w:szCs w:val="24"/>
        </w:rPr>
        <w:t xml:space="preserve">con edificaciones como esta, la máxima casa de estudios </w:t>
      </w:r>
      <w:r w:rsidR="00EB7ABC">
        <w:rPr>
          <w:rFonts w:ascii="Arial" w:hAnsi="Arial" w:cs="Arial"/>
          <w:sz w:val="24"/>
          <w:szCs w:val="24"/>
        </w:rPr>
        <w:t xml:space="preserve">cumple </w:t>
      </w:r>
      <w:r w:rsidRPr="003217E7">
        <w:rPr>
          <w:rFonts w:ascii="Arial" w:hAnsi="Arial" w:cs="Arial"/>
          <w:sz w:val="24"/>
          <w:szCs w:val="24"/>
        </w:rPr>
        <w:t xml:space="preserve">con su compromiso social de buscar más y mejores oportunidades educativas para los jóvenes de Baja California. </w:t>
      </w:r>
      <w:r>
        <w:rPr>
          <w:rFonts w:ascii="Arial" w:hAnsi="Arial" w:cs="Arial"/>
          <w:sz w:val="24"/>
          <w:szCs w:val="24"/>
        </w:rPr>
        <w:t>“</w:t>
      </w:r>
      <w:r w:rsidRPr="00855CAB">
        <w:rPr>
          <w:rFonts w:ascii="Arial" w:hAnsi="Arial" w:cs="Arial"/>
          <w:sz w:val="24"/>
          <w:szCs w:val="24"/>
          <w:bdr w:val="none" w:sz="0" w:space="0" w:color="auto" w:frame="1"/>
        </w:rPr>
        <w:t>Es</w:t>
      </w:r>
      <w:r w:rsidRPr="003217E7">
        <w:rPr>
          <w:rFonts w:ascii="Arial" w:hAnsi="Arial" w:cs="Arial"/>
          <w:sz w:val="24"/>
          <w:szCs w:val="24"/>
          <w:bdr w:val="none" w:sz="0" w:space="0" w:color="auto" w:frame="1"/>
        </w:rPr>
        <w:t xml:space="preserve">to </w:t>
      </w:r>
      <w:r w:rsidRPr="00855CAB">
        <w:rPr>
          <w:rFonts w:ascii="Arial" w:hAnsi="Arial" w:cs="Arial"/>
          <w:sz w:val="24"/>
          <w:szCs w:val="24"/>
          <w:bdr w:val="none" w:sz="0" w:space="0" w:color="auto" w:frame="1"/>
        </w:rPr>
        <w:t xml:space="preserve">genera constantes retos de </w:t>
      </w:r>
      <w:r w:rsidRPr="00855CAB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infraestructura y equipamiento, retos que gracias a la disciplina con la que se ejercen los recursos, iremos solventando para asegurar espacios dignos y seguros para nuestra comunidad</w:t>
      </w:r>
      <w:r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”, expresó</w:t>
      </w:r>
      <w:r w:rsidRPr="00855CAB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.</w:t>
      </w:r>
    </w:p>
    <w:p w14:paraId="6CDB5095" w14:textId="4786CC1F" w:rsidR="003217E7" w:rsidRPr="003217E7" w:rsidRDefault="003217E7" w:rsidP="003217E7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</w:p>
    <w:p w14:paraId="22BF7E38" w14:textId="7151CF60" w:rsidR="003217E7" w:rsidRPr="00855CAB" w:rsidRDefault="003217E7" w:rsidP="003217E7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Indicó que si bien el proyecto de edificación </w:t>
      </w:r>
      <w:r w:rsidRPr="00855CAB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experimentó dificultades por la crisis financiera que atravesó la UABC, </w:t>
      </w:r>
      <w:r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se hizo</w:t>
      </w:r>
      <w:r w:rsidRPr="00855CAB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 patente la responsabilidad en el manejo de los recursos que </w:t>
      </w:r>
      <w:r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han sido</w:t>
      </w:r>
      <w:r w:rsidRPr="00855CAB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 ejercidos con transparencia y en estricto apego de la normatividad aplicable</w:t>
      </w:r>
      <w:r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. “A</w:t>
      </w:r>
      <w:r w:rsidRPr="00855CAB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penas recuperándonos</w:t>
      </w:r>
      <w:r w:rsidR="00073FF7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,</w:t>
      </w:r>
      <w:r w:rsidRPr="00855CAB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 hemos comenzado y consolidado proyectos que han dado como resultado el incremento de la matrícula y de la oferta educativa. El invertir en la educación superior es una apuesta segura por el desarrollo del estado, somos el motor de Baja California</w:t>
      </w:r>
      <w:r w:rsidR="00073FF7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”, manifestó</w:t>
      </w:r>
      <w:r w:rsidRPr="00855CAB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.</w:t>
      </w:r>
    </w:p>
    <w:p w14:paraId="52258D12" w14:textId="77777777" w:rsidR="00073FF7" w:rsidRPr="00073FF7" w:rsidRDefault="00073FF7" w:rsidP="003217E7">
      <w:pPr>
        <w:autoSpaceDN/>
        <w:jc w:val="both"/>
        <w:rPr>
          <w:rFonts w:ascii="Arial" w:hAnsi="Arial" w:cs="Arial"/>
          <w:color w:val="262626"/>
          <w:sz w:val="16"/>
          <w:szCs w:val="16"/>
          <w:bdr w:val="none" w:sz="0" w:space="0" w:color="auto" w:frame="1"/>
        </w:rPr>
      </w:pPr>
    </w:p>
    <w:p w14:paraId="2E77FC2C" w14:textId="2E620C4F" w:rsidR="0038172D" w:rsidRPr="00085582" w:rsidRDefault="00073FF7" w:rsidP="003217E7">
      <w:pPr>
        <w:autoSpaceDN/>
        <w:jc w:val="both"/>
        <w:rPr>
          <w:rFonts w:ascii="Arial" w:hAnsi="Arial" w:cs="Arial"/>
          <w:sz w:val="24"/>
          <w:szCs w:val="24"/>
          <w:bdr w:val="none" w:sz="0" w:space="0" w:color="auto" w:frame="1"/>
        </w:rPr>
      </w:pPr>
      <w:r w:rsidRPr="00085582">
        <w:rPr>
          <w:rFonts w:ascii="Arial" w:hAnsi="Arial" w:cs="Arial"/>
          <w:sz w:val="24"/>
          <w:szCs w:val="24"/>
          <w:bdr w:val="none" w:sz="0" w:space="0" w:color="auto" w:frame="1"/>
        </w:rPr>
        <w:t>Agregó que c</w:t>
      </w:r>
      <w:r w:rsidR="003217E7" w:rsidRPr="00085582">
        <w:rPr>
          <w:rFonts w:ascii="Arial" w:hAnsi="Arial" w:cs="Arial"/>
          <w:sz w:val="24"/>
          <w:szCs w:val="24"/>
          <w:bdr w:val="none" w:sz="0" w:space="0" w:color="auto" w:frame="1"/>
        </w:rPr>
        <w:t xml:space="preserve">on las obras que se están realizando, </w:t>
      </w:r>
      <w:r w:rsidRPr="00085582">
        <w:rPr>
          <w:rFonts w:ascii="Arial" w:hAnsi="Arial" w:cs="Arial"/>
          <w:sz w:val="24"/>
          <w:szCs w:val="24"/>
          <w:bdr w:val="none" w:sz="0" w:space="0" w:color="auto" w:frame="1"/>
        </w:rPr>
        <w:t xml:space="preserve">las cuales son </w:t>
      </w:r>
      <w:r w:rsidR="003217E7" w:rsidRPr="00085582">
        <w:rPr>
          <w:rFonts w:ascii="Arial" w:hAnsi="Arial" w:cs="Arial"/>
          <w:sz w:val="24"/>
          <w:szCs w:val="24"/>
          <w:bdr w:val="none" w:sz="0" w:space="0" w:color="auto" w:frame="1"/>
        </w:rPr>
        <w:t xml:space="preserve">posibles con el pago de la deuda histórica, pronto </w:t>
      </w:r>
      <w:r w:rsidRPr="00085582">
        <w:rPr>
          <w:rFonts w:ascii="Arial" w:hAnsi="Arial" w:cs="Arial"/>
          <w:sz w:val="24"/>
          <w:szCs w:val="24"/>
          <w:bdr w:val="none" w:sz="0" w:space="0" w:color="auto" w:frame="1"/>
        </w:rPr>
        <w:t>se estará</w:t>
      </w:r>
      <w:r w:rsidR="003217E7" w:rsidRPr="00085582">
        <w:rPr>
          <w:rFonts w:ascii="Arial" w:hAnsi="Arial" w:cs="Arial"/>
          <w:sz w:val="24"/>
          <w:szCs w:val="24"/>
          <w:bdr w:val="none" w:sz="0" w:space="0" w:color="auto" w:frame="1"/>
        </w:rPr>
        <w:t xml:space="preserve"> en la </w:t>
      </w:r>
      <w:r w:rsidRPr="00085582">
        <w:rPr>
          <w:rFonts w:ascii="Arial" w:hAnsi="Arial" w:cs="Arial"/>
          <w:sz w:val="24"/>
          <w:szCs w:val="24"/>
          <w:bdr w:val="none" w:sz="0" w:space="0" w:color="auto" w:frame="1"/>
        </w:rPr>
        <w:t>posibilidad</w:t>
      </w:r>
      <w:r w:rsidR="003217E7" w:rsidRPr="00085582">
        <w:rPr>
          <w:rFonts w:ascii="Arial" w:hAnsi="Arial" w:cs="Arial"/>
          <w:sz w:val="24"/>
          <w:szCs w:val="24"/>
          <w:bdr w:val="none" w:sz="0" w:space="0" w:color="auto" w:frame="1"/>
        </w:rPr>
        <w:t xml:space="preserve"> de dar cobertura total a la demanda de </w:t>
      </w:r>
      <w:r w:rsidR="00085582">
        <w:rPr>
          <w:rFonts w:ascii="Arial" w:hAnsi="Arial" w:cs="Arial"/>
          <w:sz w:val="24"/>
          <w:szCs w:val="24"/>
          <w:bdr w:val="none" w:sz="0" w:space="0" w:color="auto" w:frame="1"/>
        </w:rPr>
        <w:t>ingreso, ofertando un espacio para</w:t>
      </w:r>
      <w:r w:rsidR="003217E7" w:rsidRPr="00085582">
        <w:rPr>
          <w:rFonts w:ascii="Arial" w:hAnsi="Arial" w:cs="Arial"/>
          <w:sz w:val="24"/>
          <w:szCs w:val="24"/>
          <w:bdr w:val="none" w:sz="0" w:space="0" w:color="auto" w:frame="1"/>
        </w:rPr>
        <w:t xml:space="preserve"> cada </w:t>
      </w:r>
      <w:r w:rsidR="0038172D" w:rsidRPr="00085582">
        <w:rPr>
          <w:rFonts w:ascii="Arial" w:hAnsi="Arial" w:cs="Arial"/>
          <w:sz w:val="24"/>
          <w:szCs w:val="24"/>
          <w:bdr w:val="none" w:sz="0" w:space="0" w:color="auto" w:frame="1"/>
        </w:rPr>
        <w:t>aspirante</w:t>
      </w:r>
      <w:r w:rsidR="003217E7" w:rsidRPr="00085582">
        <w:rPr>
          <w:rFonts w:ascii="Arial" w:hAnsi="Arial" w:cs="Arial"/>
          <w:sz w:val="24"/>
          <w:szCs w:val="24"/>
          <w:bdr w:val="none" w:sz="0" w:space="0" w:color="auto" w:frame="1"/>
        </w:rPr>
        <w:t xml:space="preserve"> que </w:t>
      </w:r>
      <w:r w:rsidRPr="00085582">
        <w:rPr>
          <w:rFonts w:ascii="Arial" w:hAnsi="Arial" w:cs="Arial"/>
          <w:sz w:val="24"/>
          <w:szCs w:val="24"/>
          <w:bdr w:val="none" w:sz="0" w:space="0" w:color="auto" w:frame="1"/>
        </w:rPr>
        <w:t>desee</w:t>
      </w:r>
      <w:r w:rsidR="003217E7" w:rsidRPr="00085582">
        <w:rPr>
          <w:rFonts w:ascii="Arial" w:hAnsi="Arial" w:cs="Arial"/>
          <w:sz w:val="24"/>
          <w:szCs w:val="24"/>
          <w:bdr w:val="none" w:sz="0" w:space="0" w:color="auto" w:frame="1"/>
        </w:rPr>
        <w:t xml:space="preserve"> estudiar una licenciatura en </w:t>
      </w:r>
      <w:r w:rsidR="0038172D" w:rsidRPr="00085582">
        <w:rPr>
          <w:rFonts w:ascii="Arial" w:hAnsi="Arial" w:cs="Arial"/>
          <w:sz w:val="24"/>
          <w:szCs w:val="24"/>
          <w:bdr w:val="none" w:sz="0" w:space="0" w:color="auto" w:frame="1"/>
        </w:rPr>
        <w:t>la UABC.</w:t>
      </w:r>
    </w:p>
    <w:p w14:paraId="6601BED4" w14:textId="77777777" w:rsidR="0038172D" w:rsidRPr="00085582" w:rsidRDefault="0038172D" w:rsidP="003217E7">
      <w:pPr>
        <w:autoSpaceDN/>
        <w:jc w:val="both"/>
        <w:rPr>
          <w:rFonts w:ascii="Arial" w:hAnsi="Arial" w:cs="Arial"/>
          <w:sz w:val="16"/>
          <w:szCs w:val="16"/>
          <w:bdr w:val="none" w:sz="0" w:space="0" w:color="auto" w:frame="1"/>
        </w:rPr>
      </w:pPr>
    </w:p>
    <w:p w14:paraId="51455567" w14:textId="1632A809" w:rsidR="003217E7" w:rsidRPr="00085582" w:rsidRDefault="0038172D" w:rsidP="003217E7">
      <w:pPr>
        <w:autoSpaceDN/>
        <w:jc w:val="both"/>
        <w:rPr>
          <w:rFonts w:ascii="Arial" w:hAnsi="Arial" w:cs="Arial"/>
          <w:sz w:val="24"/>
          <w:szCs w:val="24"/>
        </w:rPr>
      </w:pPr>
      <w:r w:rsidRPr="00085582">
        <w:rPr>
          <w:rFonts w:ascii="Arial" w:hAnsi="Arial" w:cs="Arial"/>
          <w:sz w:val="24"/>
          <w:szCs w:val="24"/>
          <w:bdr w:val="none" w:sz="0" w:space="0" w:color="auto" w:frame="1"/>
        </w:rPr>
        <w:t xml:space="preserve">Finalmente, aseguró que </w:t>
      </w:r>
      <w:r w:rsidR="003217E7" w:rsidRPr="00085582">
        <w:rPr>
          <w:rFonts w:ascii="Arial" w:hAnsi="Arial" w:cs="Arial"/>
          <w:sz w:val="24"/>
          <w:szCs w:val="24"/>
          <w:bdr w:val="none" w:sz="0" w:space="0" w:color="auto" w:frame="1"/>
        </w:rPr>
        <w:t>a pesar de los intentos de violación a la autonomía universitaria, la UABC seguirá siendo sólida, con crecimiento sostenido. "Una y otra vez los cimarrones hemos dado muestra de lo que somos capaces; hemos logrado reinventarnos y reiteramos el servicio a la sociedad en los momentos que más lo ha necesitado"</w:t>
      </w:r>
      <w:r w:rsidRPr="00085582">
        <w:rPr>
          <w:rFonts w:ascii="Arial" w:hAnsi="Arial" w:cs="Arial"/>
          <w:sz w:val="24"/>
          <w:szCs w:val="24"/>
          <w:bdr w:val="none" w:sz="0" w:space="0" w:color="auto" w:frame="1"/>
        </w:rPr>
        <w:t>, puntualizó</w:t>
      </w:r>
      <w:r w:rsidR="003217E7" w:rsidRPr="00085582">
        <w:rPr>
          <w:rFonts w:ascii="Arial" w:hAnsi="Arial" w:cs="Arial"/>
          <w:sz w:val="24"/>
          <w:szCs w:val="24"/>
          <w:bdr w:val="none" w:sz="0" w:space="0" w:color="auto" w:frame="1"/>
        </w:rPr>
        <w:t>.</w:t>
      </w:r>
    </w:p>
    <w:p w14:paraId="21D9B885" w14:textId="77777777" w:rsidR="00C86BBC" w:rsidRPr="0038172D" w:rsidRDefault="00C86BBC" w:rsidP="00C86BBC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02FB2B3A" w14:textId="4EDFF2B9" w:rsidR="0038172D" w:rsidRPr="0038172D" w:rsidRDefault="0038172D" w:rsidP="0038172D">
      <w:pPr>
        <w:autoSpaceDN/>
        <w:jc w:val="both"/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</w:pPr>
      <w:r w:rsidRPr="0038172D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La doctora </w:t>
      </w:r>
      <w:r w:rsidRPr="00855CAB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María de Jesús Montoya Robles, directora de la </w:t>
      </w:r>
      <w:proofErr w:type="spellStart"/>
      <w:r w:rsidRPr="00855CAB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FHyCS</w:t>
      </w:r>
      <w:proofErr w:type="spellEnd"/>
      <w:r w:rsidRPr="0038172D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, expuso que este edificio </w:t>
      </w:r>
      <w:r w:rsidRPr="00855CAB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resguardará servicios al estudiantado y de investigación, </w:t>
      </w:r>
      <w:r w:rsidRPr="0038172D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así como </w:t>
      </w:r>
      <w:r w:rsidRPr="00855CAB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algunos proye</w:t>
      </w:r>
      <w:r w:rsidRPr="0038172D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ctos que se encuentran en curso para contribuir a la divulgación de la ciencia y el quehacer universitario. También en </w:t>
      </w:r>
      <w:r w:rsidRPr="00855CAB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él se gestará la creación de un nuevo programa educativo de posgrado, la Maes</w:t>
      </w:r>
      <w:r w:rsidRPr="0038172D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tría en Humanidades y </w:t>
      </w:r>
      <w:r w:rsidRPr="00855CAB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albergará los proyectos de </w:t>
      </w:r>
      <w:r w:rsidRPr="0038172D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C</w:t>
      </w:r>
      <w:r w:rsidRPr="00855CAB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iencia </w:t>
      </w:r>
      <w:r w:rsidRPr="0038172D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c</w:t>
      </w:r>
      <w:r w:rsidRPr="00855CAB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imarrón, entre otras actividades</w:t>
      </w:r>
      <w:r w:rsidRPr="0038172D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 xml:space="preserve"> académicas</w:t>
      </w:r>
      <w:r w:rsidRPr="00855CAB">
        <w:rPr>
          <w:rFonts w:ascii="Arial" w:hAnsi="Arial" w:cs="Arial"/>
          <w:color w:val="262626"/>
          <w:spacing w:val="-4"/>
          <w:sz w:val="24"/>
          <w:szCs w:val="24"/>
          <w:bdr w:val="none" w:sz="0" w:space="0" w:color="auto" w:frame="1"/>
        </w:rPr>
        <w:t>.</w:t>
      </w:r>
    </w:p>
    <w:p w14:paraId="05FFC861" w14:textId="77777777" w:rsidR="0038172D" w:rsidRPr="0038172D" w:rsidRDefault="0038172D" w:rsidP="0038172D">
      <w:pPr>
        <w:autoSpaceDN/>
        <w:jc w:val="both"/>
        <w:rPr>
          <w:rFonts w:ascii="Arial" w:hAnsi="Arial" w:cs="Arial"/>
          <w:color w:val="262626"/>
          <w:sz w:val="16"/>
          <w:szCs w:val="16"/>
          <w:bdr w:val="none" w:sz="0" w:space="0" w:color="auto" w:frame="1"/>
        </w:rPr>
      </w:pPr>
    </w:p>
    <w:p w14:paraId="48A9EF9D" w14:textId="72D6DC1F" w:rsidR="00DC7242" w:rsidRDefault="0038172D" w:rsidP="0038172D">
      <w:pPr>
        <w:autoSpaceDN/>
        <w:jc w:val="both"/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Agradeció a las autoridades universitarias, encabezadas por el rector </w:t>
      </w:r>
      <w:r w:rsidR="00DC7242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de la UABC y por el presidente de la Junta de Gobierno, doctor Gabriel Estrella Valenzuela, así como a los directivos y administrativos de esta unidad académica, quienes han ofrecido su apoyo y han realizado gestiones a favor de la comunidad de la </w:t>
      </w:r>
      <w:proofErr w:type="spellStart"/>
      <w:r w:rsidR="00DC7242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FHyCS</w:t>
      </w:r>
      <w:proofErr w:type="spellEnd"/>
      <w:r w:rsidR="00DC7242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.</w:t>
      </w:r>
    </w:p>
    <w:p w14:paraId="4C2E0250" w14:textId="77777777" w:rsidR="0038172D" w:rsidRPr="00DC7242" w:rsidRDefault="0038172D" w:rsidP="00C86BBC">
      <w:pPr>
        <w:autoSpaceDN/>
        <w:jc w:val="both"/>
        <w:rPr>
          <w:rFonts w:ascii="Arial" w:hAnsi="Arial" w:cs="Arial"/>
          <w:color w:val="262626"/>
          <w:sz w:val="16"/>
          <w:szCs w:val="16"/>
        </w:rPr>
      </w:pPr>
    </w:p>
    <w:p w14:paraId="11C80BA9" w14:textId="360E8F7E" w:rsidR="00855CAB" w:rsidRPr="00855CAB" w:rsidRDefault="0038172D" w:rsidP="00C86BBC">
      <w:pPr>
        <w:autoSpaceDN/>
        <w:jc w:val="both"/>
        <w:rPr>
          <w:rFonts w:ascii="Arial" w:hAnsi="Arial" w:cs="Arial"/>
          <w:color w:val="262626"/>
          <w:sz w:val="24"/>
          <w:szCs w:val="24"/>
        </w:rPr>
      </w:pPr>
      <w:r>
        <w:rPr>
          <w:rFonts w:ascii="Arial" w:hAnsi="Arial" w:cs="Arial"/>
          <w:color w:val="262626"/>
          <w:sz w:val="24"/>
          <w:szCs w:val="24"/>
        </w:rPr>
        <w:t xml:space="preserve">En el corte de listón inaugural se contó con la presencia de la química </w:t>
      </w:r>
      <w:r w:rsidR="00855CAB" w:rsidRPr="00855CAB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Socorro Macías Ahumada, integrante de la Junta de Gobierno</w:t>
      </w:r>
      <w:r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; la maestra Edith Montiel Ayala, vicerrectora del Campus Tijuana, y la doctora </w:t>
      </w:r>
      <w:r w:rsidR="00855CAB" w:rsidRPr="00855CAB"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Viviana Mejía Cañedo, subdirectora</w:t>
      </w:r>
      <w:r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 xml:space="preserve"> de la </w:t>
      </w:r>
      <w:proofErr w:type="spellStart"/>
      <w:r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FHyCS</w:t>
      </w:r>
      <w:proofErr w:type="spellEnd"/>
      <w:r>
        <w:rPr>
          <w:rFonts w:ascii="Arial" w:hAnsi="Arial" w:cs="Arial"/>
          <w:color w:val="262626"/>
          <w:sz w:val="24"/>
          <w:szCs w:val="24"/>
          <w:bdr w:val="none" w:sz="0" w:space="0" w:color="auto" w:frame="1"/>
        </w:rPr>
        <w:t>.</w:t>
      </w:r>
    </w:p>
    <w:p w14:paraId="2CADE8BF" w14:textId="77777777" w:rsidR="003A776F" w:rsidRPr="00855CAB" w:rsidRDefault="003A776F" w:rsidP="003A776F">
      <w:pPr>
        <w:shd w:val="clear" w:color="auto" w:fill="FFFFFF"/>
        <w:jc w:val="center"/>
        <w:rPr>
          <w:rFonts w:ascii="Arial" w:hAnsi="Arial" w:cs="Arial"/>
          <w:b/>
          <w:color w:val="000000" w:themeColor="text1"/>
          <w:sz w:val="12"/>
          <w:szCs w:val="12"/>
        </w:rPr>
      </w:pPr>
    </w:p>
    <w:sectPr w:rsidR="003A776F" w:rsidRPr="00855CAB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2C9B6" w14:textId="77777777" w:rsidR="005C0EF4" w:rsidRDefault="005C0EF4">
      <w:r>
        <w:separator/>
      </w:r>
    </w:p>
  </w:endnote>
  <w:endnote w:type="continuationSeparator" w:id="0">
    <w:p w14:paraId="67262BAD" w14:textId="77777777" w:rsidR="005C0EF4" w:rsidRDefault="005C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FCEF5B" w14:textId="77777777" w:rsidR="005C0EF4" w:rsidRDefault="005C0EF4">
      <w:r>
        <w:rPr>
          <w:color w:val="000000"/>
        </w:rPr>
        <w:separator/>
      </w:r>
    </w:p>
  </w:footnote>
  <w:footnote w:type="continuationSeparator" w:id="0">
    <w:p w14:paraId="51F308B3" w14:textId="77777777" w:rsidR="005C0EF4" w:rsidRDefault="005C0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9496A"/>
    <w:multiLevelType w:val="hybridMultilevel"/>
    <w:tmpl w:val="7820EA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2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3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4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7"/>
  </w:num>
  <w:num w:numId="4">
    <w:abstractNumId w:val="1"/>
  </w:num>
  <w:num w:numId="5">
    <w:abstractNumId w:val="15"/>
  </w:num>
  <w:num w:numId="6">
    <w:abstractNumId w:val="8"/>
  </w:num>
  <w:num w:numId="7">
    <w:abstractNumId w:val="21"/>
  </w:num>
  <w:num w:numId="8">
    <w:abstractNumId w:val="14"/>
  </w:num>
  <w:num w:numId="9">
    <w:abstractNumId w:val="24"/>
  </w:num>
  <w:num w:numId="10">
    <w:abstractNumId w:val="25"/>
  </w:num>
  <w:num w:numId="11">
    <w:abstractNumId w:val="23"/>
  </w:num>
  <w:num w:numId="12">
    <w:abstractNumId w:val="11"/>
  </w:num>
  <w:num w:numId="13">
    <w:abstractNumId w:val="4"/>
  </w:num>
  <w:num w:numId="14">
    <w:abstractNumId w:val="9"/>
  </w:num>
  <w:num w:numId="15">
    <w:abstractNumId w:val="13"/>
  </w:num>
  <w:num w:numId="16">
    <w:abstractNumId w:val="7"/>
  </w:num>
  <w:num w:numId="17">
    <w:abstractNumId w:val="3"/>
  </w:num>
  <w:num w:numId="18">
    <w:abstractNumId w:val="22"/>
  </w:num>
  <w:num w:numId="19">
    <w:abstractNumId w:val="18"/>
  </w:num>
  <w:num w:numId="20">
    <w:abstractNumId w:val="19"/>
  </w:num>
  <w:num w:numId="21">
    <w:abstractNumId w:val="20"/>
  </w:num>
  <w:num w:numId="22">
    <w:abstractNumId w:val="10"/>
  </w:num>
  <w:num w:numId="23">
    <w:abstractNumId w:val="5"/>
  </w:num>
  <w:num w:numId="24">
    <w:abstractNumId w:val="17"/>
  </w:num>
  <w:num w:numId="25">
    <w:abstractNumId w:val="6"/>
  </w:num>
  <w:num w:numId="26">
    <w:abstractNumId w:val="0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3FF7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B3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5582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17E7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2D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28E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A7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BCD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0E2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0EF4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20F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5CAB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610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BBC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242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B73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ABC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BCF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48109-9A79-42F5-94ED-29E019EC1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529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10</cp:revision>
  <cp:lastPrinted>2022-09-21T20:48:00Z</cp:lastPrinted>
  <dcterms:created xsi:type="dcterms:W3CDTF">2022-09-21T20:04:00Z</dcterms:created>
  <dcterms:modified xsi:type="dcterms:W3CDTF">2022-09-22T01:43:00Z</dcterms:modified>
</cp:coreProperties>
</file>