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5FF89261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32044E">
        <w:rPr>
          <w:rFonts w:ascii="Arial" w:hAnsi="Arial" w:cs="Arial"/>
          <w:b/>
          <w:sz w:val="24"/>
          <w:szCs w:val="24"/>
        </w:rPr>
        <w:t>60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B7DC35E" w14:textId="4A57EC07" w:rsidR="003C6169" w:rsidRDefault="00C1553C" w:rsidP="008306FC">
      <w:pPr>
        <w:shd w:val="clear" w:color="auto" w:fill="FFFFFF"/>
        <w:jc w:val="center"/>
        <w:rPr>
          <w:color w:val="222222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Start w:id="1" w:name="_GoBack"/>
      <w:bookmarkEnd w:id="0"/>
      <w:r w:rsidR="001D78A2">
        <w:rPr>
          <w:rFonts w:ascii="Arial" w:hAnsi="Arial" w:cs="Arial"/>
          <w:b/>
          <w:bCs/>
          <w:color w:val="222222"/>
          <w:sz w:val="36"/>
          <w:szCs w:val="36"/>
        </w:rPr>
        <w:t>Ya viene la Conferencia Binacional Re:Border 2022</w:t>
      </w:r>
    </w:p>
    <w:p w14:paraId="22BCE064" w14:textId="77777777" w:rsidR="003C6169" w:rsidRDefault="003C6169" w:rsidP="008306FC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69FC8B31" w14:textId="575D0E31" w:rsidR="003C6169" w:rsidRPr="006F057C" w:rsidRDefault="006F057C" w:rsidP="008306FC">
      <w:pPr>
        <w:pStyle w:val="Prrafodelista"/>
        <w:numPr>
          <w:ilvl w:val="0"/>
          <w:numId w:val="43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16"/>
          <w:szCs w:val="16"/>
        </w:rPr>
      </w:pPr>
      <w:r w:rsidRPr="006F057C">
        <w:rPr>
          <w:rFonts w:ascii="Arial" w:hAnsi="Arial" w:cs="Arial"/>
          <w:sz w:val="24"/>
          <w:szCs w:val="24"/>
        </w:rPr>
        <w:t>Se realizará los días 29 y 30 de noviembre, así como el 1 de diciembre de 2022</w:t>
      </w:r>
      <w:r w:rsidR="00064ECD">
        <w:rPr>
          <w:rFonts w:ascii="Arial" w:hAnsi="Arial" w:cs="Arial"/>
          <w:sz w:val="24"/>
          <w:szCs w:val="24"/>
        </w:rPr>
        <w:t xml:space="preserve"> con sede en la UABC y SDSU</w:t>
      </w:r>
      <w:r w:rsidRPr="006F057C">
        <w:rPr>
          <w:rFonts w:ascii="Arial" w:hAnsi="Arial" w:cs="Arial"/>
          <w:sz w:val="24"/>
          <w:szCs w:val="24"/>
        </w:rPr>
        <w:t>.</w:t>
      </w:r>
      <w:r w:rsidR="003C6169" w:rsidRPr="006F057C">
        <w:rPr>
          <w:rFonts w:ascii="Arial" w:hAnsi="Arial" w:cs="Arial"/>
          <w:color w:val="222222"/>
          <w:sz w:val="16"/>
          <w:szCs w:val="16"/>
        </w:rPr>
        <w:t> </w:t>
      </w:r>
    </w:p>
    <w:p w14:paraId="5D18CFDF" w14:textId="77777777" w:rsidR="006F057C" w:rsidRDefault="006F057C" w:rsidP="008306FC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463461F2" w14:textId="09BAB570" w:rsidR="00A764C7" w:rsidRDefault="003C6169" w:rsidP="008306FC">
      <w:pPr>
        <w:jc w:val="both"/>
        <w:rPr>
          <w:rFonts w:ascii="Arial" w:hAnsi="Arial" w:cs="Arial"/>
          <w:color w:val="212529"/>
          <w:sz w:val="24"/>
          <w:szCs w:val="24"/>
        </w:rPr>
      </w:pPr>
      <w:r w:rsidRPr="008306FC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Baja California, </w:t>
      </w:r>
      <w:r w:rsidR="005C5A35" w:rsidRPr="003B4D8E">
        <w:rPr>
          <w:rFonts w:ascii="Arial" w:hAnsi="Arial" w:cs="Arial"/>
          <w:b/>
          <w:bCs/>
          <w:sz w:val="24"/>
          <w:szCs w:val="24"/>
        </w:rPr>
        <w:t xml:space="preserve">jueves </w:t>
      </w:r>
      <w:r w:rsidR="003B4D8E" w:rsidRPr="003B4D8E">
        <w:rPr>
          <w:rFonts w:ascii="Arial" w:hAnsi="Arial" w:cs="Arial"/>
          <w:b/>
          <w:bCs/>
          <w:sz w:val="24"/>
          <w:szCs w:val="24"/>
        </w:rPr>
        <w:t>10 de noviembre</w:t>
      </w:r>
      <w:r w:rsidRPr="003B4D8E">
        <w:rPr>
          <w:rFonts w:ascii="Arial" w:hAnsi="Arial" w:cs="Arial"/>
          <w:b/>
          <w:bCs/>
          <w:sz w:val="24"/>
          <w:szCs w:val="24"/>
        </w:rPr>
        <w:t xml:space="preserve"> </w:t>
      </w:r>
      <w:r w:rsidRPr="008306FC">
        <w:rPr>
          <w:rFonts w:ascii="Arial" w:hAnsi="Arial" w:cs="Arial"/>
          <w:b/>
          <w:bCs/>
          <w:color w:val="222222"/>
          <w:sz w:val="24"/>
          <w:szCs w:val="24"/>
        </w:rPr>
        <w:t>de 202</w:t>
      </w:r>
      <w:r w:rsidR="00064ECD">
        <w:rPr>
          <w:rFonts w:ascii="Arial" w:hAnsi="Arial" w:cs="Arial"/>
          <w:b/>
          <w:bCs/>
          <w:color w:val="222222"/>
          <w:sz w:val="24"/>
          <w:szCs w:val="24"/>
        </w:rPr>
        <w:t>2</w:t>
      </w:r>
      <w:r w:rsidRPr="008306FC">
        <w:rPr>
          <w:rFonts w:ascii="Arial" w:hAnsi="Arial" w:cs="Arial"/>
          <w:color w:val="222222"/>
          <w:sz w:val="24"/>
          <w:szCs w:val="24"/>
        </w:rPr>
        <w:t>.-</w:t>
      </w:r>
      <w:r w:rsidR="00FF0C7B" w:rsidRPr="008306FC">
        <w:rPr>
          <w:rFonts w:ascii="Arial" w:hAnsi="Arial" w:cs="Arial"/>
          <w:sz w:val="24"/>
          <w:szCs w:val="24"/>
        </w:rPr>
        <w:t xml:space="preserve"> </w:t>
      </w:r>
      <w:r w:rsidR="008306FC" w:rsidRPr="008306FC">
        <w:rPr>
          <w:rFonts w:ascii="Arial" w:hAnsi="Arial" w:cs="Arial"/>
          <w:color w:val="212529"/>
          <w:sz w:val="24"/>
          <w:szCs w:val="24"/>
        </w:rPr>
        <w:t>De nueva cuenta</w:t>
      </w:r>
      <w:r w:rsidR="003B4D8E">
        <w:rPr>
          <w:rFonts w:ascii="Arial" w:hAnsi="Arial" w:cs="Arial"/>
          <w:color w:val="212529"/>
          <w:sz w:val="24"/>
          <w:szCs w:val="24"/>
        </w:rPr>
        <w:t xml:space="preserve">, </w:t>
      </w:r>
      <w:r w:rsidR="008306FC" w:rsidRPr="008306FC">
        <w:rPr>
          <w:rFonts w:ascii="Arial" w:hAnsi="Arial" w:cs="Arial"/>
          <w:color w:val="212529"/>
          <w:sz w:val="24"/>
          <w:szCs w:val="24"/>
        </w:rPr>
        <w:t xml:space="preserve">la </w:t>
      </w:r>
      <w:r w:rsidR="00A764C7">
        <w:rPr>
          <w:rFonts w:ascii="Arial" w:hAnsi="Arial" w:cs="Arial"/>
          <w:color w:val="212529"/>
          <w:sz w:val="24"/>
          <w:szCs w:val="24"/>
        </w:rPr>
        <w:t xml:space="preserve">Universidad Autónoma de Baja California (UABC) </w:t>
      </w:r>
      <w:r w:rsidR="008306FC" w:rsidRPr="008306FC">
        <w:rPr>
          <w:rFonts w:ascii="Arial" w:hAnsi="Arial" w:cs="Arial"/>
          <w:color w:val="212529"/>
          <w:sz w:val="24"/>
          <w:szCs w:val="24"/>
        </w:rPr>
        <w:t>invita a la comunidad universitaria y sociedad en general, a participar en la cuarta edición de la Conferencia Binacional Re:Border</w:t>
      </w:r>
      <w:r w:rsidR="00643218">
        <w:rPr>
          <w:rFonts w:ascii="Arial" w:hAnsi="Arial" w:cs="Arial"/>
          <w:color w:val="212529"/>
          <w:sz w:val="24"/>
          <w:szCs w:val="24"/>
        </w:rPr>
        <w:t xml:space="preserve"> </w:t>
      </w:r>
      <w:r w:rsidR="00643218" w:rsidRPr="008306FC">
        <w:rPr>
          <w:rFonts w:ascii="Arial" w:hAnsi="Arial" w:cs="Arial"/>
          <w:color w:val="212529"/>
          <w:sz w:val="24"/>
          <w:szCs w:val="24"/>
        </w:rPr>
        <w:t>2022</w:t>
      </w:r>
      <w:r w:rsidR="00A764C7">
        <w:rPr>
          <w:rFonts w:ascii="Arial" w:hAnsi="Arial" w:cs="Arial"/>
          <w:color w:val="212529"/>
          <w:sz w:val="24"/>
          <w:szCs w:val="24"/>
        </w:rPr>
        <w:t xml:space="preserve"> “</w:t>
      </w:r>
      <w:r w:rsidR="00064ECD">
        <w:rPr>
          <w:rFonts w:ascii="Arial" w:hAnsi="Arial" w:cs="Arial"/>
          <w:color w:val="212529"/>
          <w:sz w:val="24"/>
          <w:szCs w:val="24"/>
        </w:rPr>
        <w:t>Susteinbility &amp; Innovation in t</w:t>
      </w:r>
      <w:r w:rsidR="00A764C7">
        <w:rPr>
          <w:rFonts w:ascii="Arial" w:hAnsi="Arial" w:cs="Arial"/>
          <w:color w:val="212529"/>
          <w:sz w:val="24"/>
          <w:szCs w:val="24"/>
        </w:rPr>
        <w:t>h</w:t>
      </w:r>
      <w:r w:rsidR="00064ECD">
        <w:rPr>
          <w:rFonts w:ascii="Arial" w:hAnsi="Arial" w:cs="Arial"/>
          <w:color w:val="212529"/>
          <w:sz w:val="24"/>
          <w:szCs w:val="24"/>
        </w:rPr>
        <w:t>e</w:t>
      </w:r>
      <w:r w:rsidR="00A764C7">
        <w:rPr>
          <w:rFonts w:ascii="Arial" w:hAnsi="Arial" w:cs="Arial"/>
          <w:color w:val="212529"/>
          <w:sz w:val="24"/>
          <w:szCs w:val="24"/>
        </w:rPr>
        <w:t xml:space="preserve"> CaliBaja Transborder Region”. </w:t>
      </w:r>
    </w:p>
    <w:p w14:paraId="71F519CC" w14:textId="77777777" w:rsidR="00A764C7" w:rsidRDefault="00A764C7" w:rsidP="008306FC">
      <w:pPr>
        <w:jc w:val="both"/>
        <w:rPr>
          <w:rFonts w:ascii="Arial" w:hAnsi="Arial" w:cs="Arial"/>
          <w:color w:val="212529"/>
          <w:sz w:val="24"/>
          <w:szCs w:val="24"/>
        </w:rPr>
      </w:pPr>
    </w:p>
    <w:p w14:paraId="43FB0DF7" w14:textId="7C390A5E" w:rsidR="008306FC" w:rsidRPr="00643218" w:rsidRDefault="00A764C7" w:rsidP="008306FC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 xml:space="preserve">Esta actividad, </w:t>
      </w:r>
      <w:r w:rsidR="00643218">
        <w:rPr>
          <w:rFonts w:ascii="Arial" w:hAnsi="Arial" w:cs="Arial"/>
          <w:color w:val="212529"/>
          <w:sz w:val="24"/>
          <w:szCs w:val="24"/>
        </w:rPr>
        <w:t xml:space="preserve">que se </w:t>
      </w:r>
      <w:r w:rsidR="00643218" w:rsidRPr="00A764C7">
        <w:rPr>
          <w:rFonts w:ascii="Arial" w:hAnsi="Arial" w:cs="Arial"/>
          <w:sz w:val="24"/>
          <w:szCs w:val="24"/>
        </w:rPr>
        <w:t>realiza anualmente</w:t>
      </w:r>
      <w:r w:rsidRPr="00A764C7">
        <w:rPr>
          <w:rFonts w:ascii="Arial" w:hAnsi="Arial" w:cs="Arial"/>
          <w:sz w:val="24"/>
          <w:szCs w:val="24"/>
        </w:rPr>
        <w:t xml:space="preserve">, </w:t>
      </w:r>
      <w:r w:rsidR="008306FC" w:rsidRPr="00A764C7">
        <w:rPr>
          <w:rFonts w:ascii="Arial" w:hAnsi="Arial" w:cs="Arial"/>
          <w:sz w:val="24"/>
          <w:szCs w:val="24"/>
        </w:rPr>
        <w:t>tiene como finalidad explorar problemas regionales y plantear soluciones innovadoras, reuniendo a profes</w:t>
      </w:r>
      <w:r w:rsidR="005C5A35">
        <w:rPr>
          <w:rFonts w:ascii="Arial" w:hAnsi="Arial" w:cs="Arial"/>
          <w:sz w:val="24"/>
          <w:szCs w:val="24"/>
        </w:rPr>
        <w:t>ionales</w:t>
      </w:r>
      <w:r w:rsidR="008306FC" w:rsidRPr="00A764C7">
        <w:rPr>
          <w:rFonts w:ascii="Arial" w:hAnsi="Arial" w:cs="Arial"/>
          <w:sz w:val="24"/>
          <w:szCs w:val="24"/>
        </w:rPr>
        <w:t xml:space="preserve">, académicos, artistas, funcionarios públicos, estudiantes y egresados; que componen </w:t>
      </w:r>
      <w:r w:rsidRPr="00A764C7">
        <w:rPr>
          <w:rFonts w:ascii="Arial" w:hAnsi="Arial" w:cs="Arial"/>
          <w:sz w:val="24"/>
          <w:szCs w:val="24"/>
        </w:rPr>
        <w:t>la</w:t>
      </w:r>
      <w:r w:rsidR="008306FC" w:rsidRPr="00A764C7">
        <w:rPr>
          <w:rFonts w:ascii="Arial" w:hAnsi="Arial" w:cs="Arial"/>
          <w:sz w:val="24"/>
          <w:szCs w:val="24"/>
        </w:rPr>
        <w:t xml:space="preserve"> región transfronteriza </w:t>
      </w:r>
      <w:r w:rsidRPr="00A764C7">
        <w:rPr>
          <w:rFonts w:ascii="Arial" w:hAnsi="Arial" w:cs="Arial"/>
          <w:sz w:val="24"/>
          <w:szCs w:val="24"/>
        </w:rPr>
        <w:t>de California y Baja California, y</w:t>
      </w:r>
      <w:r w:rsidR="008306FC" w:rsidRPr="00A764C7">
        <w:rPr>
          <w:rFonts w:ascii="Arial" w:hAnsi="Arial" w:cs="Arial"/>
          <w:sz w:val="24"/>
          <w:szCs w:val="24"/>
        </w:rPr>
        <w:t xml:space="preserve"> que desean abordar los desafíos de la innovación para un futuro sostenible. </w:t>
      </w:r>
    </w:p>
    <w:p w14:paraId="1AD2E180" w14:textId="77777777" w:rsidR="008306FC" w:rsidRPr="00643218" w:rsidRDefault="008306FC" w:rsidP="008306F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C376139" w14:textId="0B543F1C" w:rsidR="00A31E14" w:rsidRDefault="00A31E14" w:rsidP="00A31E14">
      <w:pPr>
        <w:jc w:val="both"/>
        <w:rPr>
          <w:rFonts w:ascii="Arial" w:hAnsi="Arial" w:cs="Arial"/>
          <w:sz w:val="24"/>
          <w:szCs w:val="24"/>
        </w:rPr>
      </w:pPr>
      <w:r w:rsidRPr="00A31E14">
        <w:rPr>
          <w:rFonts w:ascii="Arial" w:hAnsi="Arial" w:cs="Arial"/>
          <w:sz w:val="24"/>
          <w:szCs w:val="24"/>
        </w:rPr>
        <w:t>Algunos de los temas a presentar son: “Enfoques comunitarios para el empoderamiento social”, “Servicios ecosistémicos y conservación del medio ambiente”, “Diseño y fabricación inteligentes”, “Producción y gestión agrícola”, “Educación y uso de la energía”. Se tendrán mesas de análisis y sesiones en las que los estudiantes podrán participar.</w:t>
      </w:r>
    </w:p>
    <w:p w14:paraId="3A05D65C" w14:textId="0CFD6250" w:rsidR="00E775CC" w:rsidRDefault="00E775CC" w:rsidP="00A31E14">
      <w:pPr>
        <w:jc w:val="both"/>
        <w:rPr>
          <w:rFonts w:ascii="Arial" w:hAnsi="Arial" w:cs="Arial"/>
          <w:sz w:val="24"/>
          <w:szCs w:val="24"/>
        </w:rPr>
      </w:pPr>
    </w:p>
    <w:p w14:paraId="3D6B359E" w14:textId="0F7E59BC" w:rsidR="00E775CC" w:rsidRPr="00A31E14" w:rsidRDefault="00E775CC" w:rsidP="00E775CC">
      <w:pPr>
        <w:jc w:val="both"/>
        <w:rPr>
          <w:rFonts w:ascii="Arial" w:hAnsi="Arial" w:cs="Arial"/>
          <w:sz w:val="24"/>
          <w:szCs w:val="24"/>
        </w:rPr>
      </w:pPr>
      <w:r w:rsidRPr="00A31E14">
        <w:rPr>
          <w:rFonts w:ascii="Arial" w:hAnsi="Arial" w:cs="Arial"/>
          <w:sz w:val="24"/>
          <w:szCs w:val="24"/>
        </w:rPr>
        <w:t>Re:Border es una colaboración entre la UABC</w:t>
      </w:r>
      <w:r w:rsidR="005C5A35">
        <w:rPr>
          <w:rFonts w:ascii="Arial" w:hAnsi="Arial" w:cs="Arial"/>
          <w:sz w:val="24"/>
          <w:szCs w:val="24"/>
        </w:rPr>
        <w:t>,</w:t>
      </w:r>
      <w:r w:rsidR="00687517">
        <w:rPr>
          <w:rFonts w:ascii="Arial" w:hAnsi="Arial" w:cs="Arial"/>
          <w:sz w:val="24"/>
          <w:szCs w:val="24"/>
        </w:rPr>
        <w:t xml:space="preserve"> a través de la Coordinación General de Vinculación y Cooperación Académica,</w:t>
      </w:r>
      <w:r w:rsidRPr="00A31E14">
        <w:rPr>
          <w:rFonts w:ascii="Arial" w:hAnsi="Arial" w:cs="Arial"/>
          <w:sz w:val="24"/>
          <w:szCs w:val="24"/>
        </w:rPr>
        <w:t xml:space="preserve"> con San Diego State University (SDSU), la American Council on Education 's (ACE), y el Colegio de la Frontera Norte</w:t>
      </w:r>
      <w:r>
        <w:rPr>
          <w:rFonts w:ascii="Arial" w:hAnsi="Arial" w:cs="Arial"/>
          <w:sz w:val="24"/>
          <w:szCs w:val="24"/>
        </w:rPr>
        <w:t xml:space="preserve"> (Colef)</w:t>
      </w:r>
      <w:r w:rsidRPr="00A31E14">
        <w:rPr>
          <w:rFonts w:ascii="Arial" w:hAnsi="Arial" w:cs="Arial"/>
          <w:sz w:val="24"/>
          <w:szCs w:val="24"/>
        </w:rPr>
        <w:t xml:space="preserve">. La conferencia será gratuita e iniciará el 14 de noviembre en la SDSU, el 15 tendrá sede en la UABC, Campus Tijuana y el 16 de noviembre se compartirán las sedes UABC, Campus Mexicali y la SDSU, Campus Imperial Valley. </w:t>
      </w:r>
    </w:p>
    <w:p w14:paraId="54F4C131" w14:textId="77777777" w:rsidR="00E775CC" w:rsidRPr="008306FC" w:rsidRDefault="00E775CC" w:rsidP="00E775CC">
      <w:pPr>
        <w:jc w:val="both"/>
        <w:rPr>
          <w:rFonts w:ascii="Arial" w:hAnsi="Arial" w:cs="Arial"/>
          <w:color w:val="212529"/>
          <w:sz w:val="24"/>
          <w:szCs w:val="24"/>
        </w:rPr>
      </w:pPr>
    </w:p>
    <w:p w14:paraId="09087D0F" w14:textId="7E67F3F7" w:rsidR="00E775CC" w:rsidRDefault="00B0758E" w:rsidP="00A31E14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las pers</w:t>
      </w:r>
      <w:r w:rsidR="005C5A35">
        <w:rPr>
          <w:rFonts w:ascii="Arial" w:hAnsi="Arial" w:cs="Arial"/>
          <w:sz w:val="24"/>
          <w:szCs w:val="24"/>
        </w:rPr>
        <w:t>onalidades que estarán presentes</w:t>
      </w:r>
      <w:r>
        <w:rPr>
          <w:rFonts w:ascii="Arial" w:hAnsi="Arial" w:cs="Arial"/>
          <w:sz w:val="24"/>
          <w:szCs w:val="24"/>
        </w:rPr>
        <w:t xml:space="preserve"> se encuentran</w:t>
      </w:r>
      <w:r w:rsidRPr="00064ECD">
        <w:rPr>
          <w:rFonts w:ascii="Arial" w:hAnsi="Arial" w:cs="Arial"/>
          <w:sz w:val="24"/>
          <w:szCs w:val="24"/>
        </w:rPr>
        <w:t xml:space="preserve"> el</w:t>
      </w:r>
      <w:r w:rsidR="00A31E14" w:rsidRPr="00064ECD">
        <w:rPr>
          <w:rFonts w:ascii="Arial" w:hAnsi="Arial" w:cs="Arial"/>
          <w:sz w:val="24"/>
          <w:szCs w:val="24"/>
        </w:rPr>
        <w:t xml:space="preserve"> doctor </w:t>
      </w:r>
      <w:r w:rsidRPr="00064ECD">
        <w:rPr>
          <w:rFonts w:ascii="Arial" w:hAnsi="Arial" w:cs="Arial"/>
          <w:sz w:val="24"/>
          <w:szCs w:val="24"/>
        </w:rPr>
        <w:t xml:space="preserve">Daniel </w:t>
      </w:r>
      <w:r w:rsidR="00A31E14" w:rsidRPr="00064ECD">
        <w:rPr>
          <w:rFonts w:ascii="Arial" w:hAnsi="Arial" w:cs="Arial"/>
          <w:sz w:val="24"/>
          <w:szCs w:val="24"/>
        </w:rPr>
        <w:t>Octavio Vald</w:t>
      </w:r>
      <w:r w:rsidRPr="00064ECD">
        <w:rPr>
          <w:rFonts w:ascii="Arial" w:hAnsi="Arial" w:cs="Arial"/>
          <w:sz w:val="24"/>
          <w:szCs w:val="24"/>
        </w:rPr>
        <w:t>e</w:t>
      </w:r>
      <w:r w:rsidR="00A31E14" w:rsidRPr="00064ECD">
        <w:rPr>
          <w:rFonts w:ascii="Arial" w:hAnsi="Arial" w:cs="Arial"/>
          <w:sz w:val="24"/>
          <w:szCs w:val="24"/>
        </w:rPr>
        <w:t>z Delgadillo, rector de la UABC</w:t>
      </w:r>
      <w:r w:rsidR="00E775CC" w:rsidRPr="00064ECD">
        <w:rPr>
          <w:rFonts w:ascii="Arial" w:hAnsi="Arial" w:cs="Arial"/>
          <w:sz w:val="24"/>
          <w:szCs w:val="24"/>
        </w:rPr>
        <w:t xml:space="preserve">; doctora </w:t>
      </w:r>
      <w:r w:rsidR="00A31E14" w:rsidRPr="00064ECD">
        <w:rPr>
          <w:rFonts w:ascii="Arial" w:hAnsi="Arial" w:cs="Arial"/>
          <w:sz w:val="24"/>
          <w:szCs w:val="24"/>
        </w:rPr>
        <w:t>Adela de la Torre, presidenta de</w:t>
      </w:r>
      <w:r w:rsidR="00E775CC" w:rsidRPr="00064ECD">
        <w:rPr>
          <w:rFonts w:ascii="Arial" w:hAnsi="Arial" w:cs="Arial"/>
          <w:sz w:val="24"/>
          <w:szCs w:val="24"/>
        </w:rPr>
        <w:t xml:space="preserve"> la</w:t>
      </w:r>
      <w:r w:rsidR="00A31E14" w:rsidRPr="00064ECD">
        <w:rPr>
          <w:rFonts w:ascii="Arial" w:hAnsi="Arial" w:cs="Arial"/>
          <w:sz w:val="24"/>
          <w:szCs w:val="24"/>
        </w:rPr>
        <w:t xml:space="preserve"> SDSU</w:t>
      </w:r>
      <w:r w:rsidR="00E775CC" w:rsidRPr="00064ECD">
        <w:rPr>
          <w:rFonts w:ascii="Arial" w:hAnsi="Arial" w:cs="Arial"/>
          <w:sz w:val="24"/>
          <w:szCs w:val="24"/>
        </w:rPr>
        <w:t>, y el doctor</w:t>
      </w:r>
      <w:r w:rsidR="00A31E14" w:rsidRPr="00064ECD">
        <w:rPr>
          <w:rFonts w:ascii="Arial" w:hAnsi="Arial" w:cs="Arial"/>
          <w:sz w:val="24"/>
          <w:szCs w:val="24"/>
        </w:rPr>
        <w:t xml:space="preserve"> Alejandro Espinoza Valle, presidente del Cole</w:t>
      </w:r>
      <w:r w:rsidR="00E775CC" w:rsidRPr="00064ECD">
        <w:rPr>
          <w:rFonts w:ascii="Arial" w:hAnsi="Arial" w:cs="Arial"/>
          <w:sz w:val="24"/>
          <w:szCs w:val="24"/>
        </w:rPr>
        <w:t>f. También se contará con la presencia de</w:t>
      </w:r>
      <w:r w:rsidR="00A31E14" w:rsidRPr="00064ECD">
        <w:rPr>
          <w:rFonts w:ascii="Arial" w:hAnsi="Arial" w:cs="Arial"/>
          <w:sz w:val="24"/>
          <w:szCs w:val="24"/>
        </w:rPr>
        <w:t xml:space="preserve"> Ben Hueso, senador del distrito 40 del </w:t>
      </w:r>
      <w:r w:rsidR="00CC2E08" w:rsidRPr="00064ECD">
        <w:rPr>
          <w:rFonts w:ascii="Arial" w:hAnsi="Arial" w:cs="Arial"/>
          <w:sz w:val="24"/>
          <w:szCs w:val="24"/>
        </w:rPr>
        <w:t>e</w:t>
      </w:r>
      <w:r w:rsidR="00A31E14" w:rsidRPr="00064ECD">
        <w:rPr>
          <w:rFonts w:ascii="Arial" w:hAnsi="Arial" w:cs="Arial"/>
          <w:sz w:val="24"/>
          <w:szCs w:val="24"/>
        </w:rPr>
        <w:t xml:space="preserve">stado de California; </w:t>
      </w:r>
      <w:r w:rsidR="00E775CC" w:rsidRPr="00064ECD">
        <w:rPr>
          <w:rFonts w:ascii="Arial" w:hAnsi="Arial" w:cs="Arial"/>
          <w:sz w:val="24"/>
          <w:szCs w:val="24"/>
        </w:rPr>
        <w:t xml:space="preserve">el embajador de México en San Diego, Carlos González Gutiérrez; McKenzie Campbell, </w:t>
      </w:r>
      <w:r w:rsidR="00064ECD" w:rsidRPr="00064ECD">
        <w:rPr>
          <w:rFonts w:ascii="Arial" w:hAnsi="Arial" w:cs="Arial"/>
          <w:sz w:val="24"/>
          <w:szCs w:val="24"/>
        </w:rPr>
        <w:t xml:space="preserve">oficial superior </w:t>
      </w:r>
      <w:r w:rsidR="00E775CC" w:rsidRPr="00064ECD">
        <w:rPr>
          <w:rFonts w:ascii="Arial" w:hAnsi="Arial" w:cs="Arial"/>
          <w:sz w:val="24"/>
          <w:szCs w:val="24"/>
        </w:rPr>
        <w:t>de I</w:t>
      </w:r>
      <w:r w:rsidR="006D5C78">
        <w:rPr>
          <w:rFonts w:ascii="Arial" w:hAnsi="Arial" w:cs="Arial"/>
          <w:sz w:val="24"/>
          <w:szCs w:val="24"/>
        </w:rPr>
        <w:t>n</w:t>
      </w:r>
      <w:r w:rsidR="00E775CC" w:rsidRPr="00064ECD">
        <w:rPr>
          <w:rFonts w:ascii="Arial" w:hAnsi="Arial" w:cs="Arial"/>
          <w:sz w:val="24"/>
          <w:szCs w:val="24"/>
        </w:rPr>
        <w:t>ternational Community Foundation; Adrián Bustamante, gerente general de Grand Hotel Tijuana</w:t>
      </w:r>
      <w:r w:rsidR="00064ECD" w:rsidRPr="00064ECD">
        <w:rPr>
          <w:rFonts w:ascii="Arial" w:hAnsi="Arial" w:cs="Arial"/>
          <w:sz w:val="24"/>
          <w:szCs w:val="24"/>
        </w:rPr>
        <w:t>, entre otros panelistas de gran prestigio.</w:t>
      </w:r>
    </w:p>
    <w:p w14:paraId="221E4289" w14:textId="77777777" w:rsidR="00E775CC" w:rsidRDefault="00E775CC" w:rsidP="00A31E14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F3B1185" w14:textId="0D4EC86F" w:rsidR="008306FC" w:rsidRPr="008306FC" w:rsidRDefault="008306FC" w:rsidP="008306FC">
      <w:pPr>
        <w:jc w:val="both"/>
        <w:rPr>
          <w:rFonts w:ascii="Arial" w:hAnsi="Arial" w:cs="Arial"/>
          <w:color w:val="212529"/>
          <w:sz w:val="24"/>
          <w:szCs w:val="24"/>
          <w:highlight w:val="white"/>
        </w:rPr>
      </w:pPr>
      <w:r w:rsidRPr="008306FC">
        <w:rPr>
          <w:rFonts w:ascii="Arial" w:hAnsi="Arial" w:cs="Arial"/>
          <w:color w:val="212529"/>
          <w:sz w:val="24"/>
          <w:szCs w:val="24"/>
          <w:highlight w:val="white"/>
        </w:rPr>
        <w:t xml:space="preserve">Para registrarse y participar en el evento, así como conocer el programa completo de los </w:t>
      </w:r>
      <w:r w:rsidR="005C5A35">
        <w:rPr>
          <w:rFonts w:ascii="Arial" w:hAnsi="Arial" w:cs="Arial"/>
          <w:color w:val="212529"/>
          <w:sz w:val="24"/>
          <w:szCs w:val="24"/>
          <w:highlight w:val="white"/>
        </w:rPr>
        <w:t xml:space="preserve">tres </w:t>
      </w:r>
      <w:r w:rsidRPr="008306FC">
        <w:rPr>
          <w:rFonts w:ascii="Arial" w:hAnsi="Arial" w:cs="Arial"/>
          <w:color w:val="212529"/>
          <w:sz w:val="24"/>
          <w:szCs w:val="24"/>
          <w:highlight w:val="white"/>
        </w:rPr>
        <w:t xml:space="preserve">días de actividades, es necesario ingresar al siguiente enlace: </w:t>
      </w:r>
      <w:hyperlink r:id="rId9">
        <w:r w:rsidRPr="008306FC">
          <w:rPr>
            <w:rFonts w:ascii="Arial" w:hAnsi="Arial" w:cs="Arial"/>
            <w:color w:val="1155CC"/>
            <w:sz w:val="24"/>
            <w:szCs w:val="24"/>
            <w:highlight w:val="white"/>
            <w:u w:val="single"/>
          </w:rPr>
          <w:t>https://re-border.sdsu.edu/</w:t>
        </w:r>
      </w:hyperlink>
      <w:r w:rsidRPr="008306FC">
        <w:rPr>
          <w:rFonts w:ascii="Arial" w:hAnsi="Arial" w:cs="Arial"/>
          <w:color w:val="212529"/>
          <w:sz w:val="24"/>
          <w:szCs w:val="24"/>
          <w:highlight w:val="white"/>
        </w:rPr>
        <w:t xml:space="preserve"> </w:t>
      </w:r>
    </w:p>
    <w:p w14:paraId="00DFDA20" w14:textId="7CEE1F46" w:rsidR="00447D31" w:rsidRPr="007F68ED" w:rsidRDefault="00447D31" w:rsidP="008306FC">
      <w:pPr>
        <w:rPr>
          <w:color w:val="FFFFFF" w:themeColor="background1"/>
          <w:sz w:val="28"/>
          <w:szCs w:val="28"/>
        </w:rPr>
      </w:pPr>
      <w:r w:rsidRPr="007F68ED">
        <w:rPr>
          <w:color w:val="FFFFFF" w:themeColor="background1"/>
        </w:rPr>
        <w:t xml:space="preserve"> Liera</w:t>
      </w:r>
    </w:p>
    <w:bookmarkEnd w:id="1"/>
    <w:p w14:paraId="26BFB4ED" w14:textId="77777777" w:rsidR="00447D31" w:rsidRPr="00FF0C7B" w:rsidRDefault="00447D31" w:rsidP="008306FC">
      <w:pPr>
        <w:rPr>
          <w:color w:val="FFFFFF" w:themeColor="background1"/>
        </w:rPr>
      </w:pPr>
    </w:p>
    <w:p w14:paraId="57B607C8" w14:textId="77777777" w:rsidR="00447D31" w:rsidRPr="00FF0C7B" w:rsidRDefault="00447D31" w:rsidP="001176DD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749D4D23" w14:textId="77777777" w:rsidR="00710515" w:rsidRDefault="00710515" w:rsidP="00710515">
      <w:pPr>
        <w:jc w:val="both"/>
        <w:rPr>
          <w:sz w:val="24"/>
          <w:szCs w:val="24"/>
        </w:rPr>
      </w:pPr>
    </w:p>
    <w:p w14:paraId="424A4A94" w14:textId="0CA902B7" w:rsidR="00627113" w:rsidRPr="00627113" w:rsidRDefault="00627113" w:rsidP="00710515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389150E7" w14:textId="77777777" w:rsidR="00627113" w:rsidRDefault="00627113" w:rsidP="004C19C3">
      <w:pPr>
        <w:autoSpaceDN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sectPr w:rsidR="00627113" w:rsidSect="007F68ED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2025D" w14:textId="77777777" w:rsidR="00290219" w:rsidRDefault="00290219">
      <w:r>
        <w:separator/>
      </w:r>
    </w:p>
  </w:endnote>
  <w:endnote w:type="continuationSeparator" w:id="0">
    <w:p w14:paraId="755D0BB8" w14:textId="77777777" w:rsidR="00290219" w:rsidRDefault="0029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6DE76" w14:textId="77777777" w:rsidR="00290219" w:rsidRDefault="00290219">
      <w:r>
        <w:rPr>
          <w:color w:val="000000"/>
        </w:rPr>
        <w:separator/>
      </w:r>
    </w:p>
  </w:footnote>
  <w:footnote w:type="continuationSeparator" w:id="0">
    <w:p w14:paraId="6F2558DD" w14:textId="77777777" w:rsidR="00290219" w:rsidRDefault="0029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9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0"/>
  </w:num>
  <w:num w:numId="3">
    <w:abstractNumId w:val="15"/>
  </w:num>
  <w:num w:numId="4">
    <w:abstractNumId w:val="3"/>
  </w:num>
  <w:num w:numId="5">
    <w:abstractNumId w:val="28"/>
  </w:num>
  <w:num w:numId="6">
    <w:abstractNumId w:val="16"/>
  </w:num>
  <w:num w:numId="7">
    <w:abstractNumId w:val="36"/>
  </w:num>
  <w:num w:numId="8">
    <w:abstractNumId w:val="24"/>
  </w:num>
  <w:num w:numId="9">
    <w:abstractNumId w:val="39"/>
  </w:num>
  <w:num w:numId="10">
    <w:abstractNumId w:val="41"/>
  </w:num>
  <w:num w:numId="11">
    <w:abstractNumId w:val="38"/>
  </w:num>
  <w:num w:numId="12">
    <w:abstractNumId w:val="19"/>
  </w:num>
  <w:num w:numId="13">
    <w:abstractNumId w:val="7"/>
  </w:num>
  <w:num w:numId="14">
    <w:abstractNumId w:val="17"/>
  </w:num>
  <w:num w:numId="15">
    <w:abstractNumId w:val="23"/>
  </w:num>
  <w:num w:numId="16">
    <w:abstractNumId w:val="15"/>
  </w:num>
  <w:num w:numId="17">
    <w:abstractNumId w:val="6"/>
  </w:num>
  <w:num w:numId="18">
    <w:abstractNumId w:val="37"/>
  </w:num>
  <w:num w:numId="19">
    <w:abstractNumId w:val="32"/>
  </w:num>
  <w:num w:numId="20">
    <w:abstractNumId w:val="34"/>
  </w:num>
  <w:num w:numId="21">
    <w:abstractNumId w:val="35"/>
  </w:num>
  <w:num w:numId="22">
    <w:abstractNumId w:val="18"/>
  </w:num>
  <w:num w:numId="23">
    <w:abstractNumId w:val="11"/>
  </w:num>
  <w:num w:numId="24">
    <w:abstractNumId w:val="30"/>
  </w:num>
  <w:num w:numId="25">
    <w:abstractNumId w:val="14"/>
  </w:num>
  <w:num w:numId="26">
    <w:abstractNumId w:val="0"/>
  </w:num>
  <w:num w:numId="27">
    <w:abstractNumId w:val="12"/>
  </w:num>
  <w:num w:numId="28">
    <w:abstractNumId w:val="40"/>
  </w:num>
  <w:num w:numId="29">
    <w:abstractNumId w:val="4"/>
  </w:num>
  <w:num w:numId="30">
    <w:abstractNumId w:val="2"/>
  </w:num>
  <w:num w:numId="31">
    <w:abstractNumId w:val="5"/>
  </w:num>
  <w:num w:numId="32">
    <w:abstractNumId w:val="21"/>
  </w:num>
  <w:num w:numId="33">
    <w:abstractNumId w:val="9"/>
  </w:num>
  <w:num w:numId="34">
    <w:abstractNumId w:val="26"/>
  </w:num>
  <w:num w:numId="35">
    <w:abstractNumId w:val="1"/>
  </w:num>
  <w:num w:numId="36">
    <w:abstractNumId w:val="22"/>
  </w:num>
  <w:num w:numId="37">
    <w:abstractNumId w:val="8"/>
  </w:num>
  <w:num w:numId="38">
    <w:abstractNumId w:val="10"/>
  </w:num>
  <w:num w:numId="39">
    <w:abstractNumId w:val="25"/>
  </w:num>
  <w:num w:numId="40">
    <w:abstractNumId w:val="31"/>
  </w:num>
  <w:num w:numId="41">
    <w:abstractNumId w:val="33"/>
  </w:num>
  <w:num w:numId="42">
    <w:abstractNumId w:val="27"/>
  </w:num>
  <w:num w:numId="4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-border.sdsu.edu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DC82E-D2F8-4EEA-98EE-116ACF81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</cp:revision>
  <cp:lastPrinted>2022-10-18T20:05:00Z</cp:lastPrinted>
  <dcterms:created xsi:type="dcterms:W3CDTF">2022-11-10T22:04:00Z</dcterms:created>
  <dcterms:modified xsi:type="dcterms:W3CDTF">2022-11-10T22:04:00Z</dcterms:modified>
</cp:coreProperties>
</file>