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0A32C94F" w:rsidR="007A78D8" w:rsidRPr="00CA69FC" w:rsidRDefault="00D335DF" w:rsidP="008306FC">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5B0AA9">
        <w:rPr>
          <w:rFonts w:ascii="Arial" w:hAnsi="Arial" w:cs="Arial"/>
          <w:b/>
          <w:sz w:val="24"/>
          <w:szCs w:val="24"/>
        </w:rPr>
        <w:t>61</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1E18C4CF" w14:textId="6357720F" w:rsidR="005B0AA9" w:rsidRDefault="00C1553C" w:rsidP="005B0AA9">
      <w:pPr>
        <w:shd w:val="clear" w:color="auto" w:fill="FFFFFF"/>
        <w:jc w:val="center"/>
        <w:rPr>
          <w:rFonts w:ascii="Arial" w:hAnsi="Arial" w:cs="Arial"/>
          <w:b/>
          <w:sz w:val="34"/>
          <w:szCs w:val="34"/>
        </w:rPr>
      </w:pPr>
      <w:r w:rsidRPr="004C19C3">
        <w:rPr>
          <w:rFonts w:ascii="Arial" w:hAnsi="Arial" w:cs="Arial"/>
          <w:color w:val="222222"/>
          <w:sz w:val="16"/>
          <w:szCs w:val="16"/>
        </w:rPr>
        <w:br/>
      </w:r>
      <w:bookmarkStart w:id="0" w:name="_gjdgxs" w:colFirst="0" w:colLast="0"/>
      <w:bookmarkEnd w:id="0"/>
      <w:r w:rsidR="005B0AA9" w:rsidRPr="005B0AA9">
        <w:rPr>
          <w:rFonts w:ascii="Arial" w:hAnsi="Arial" w:cs="Arial"/>
          <w:b/>
          <w:sz w:val="34"/>
          <w:szCs w:val="34"/>
        </w:rPr>
        <w:t>Se reunirán en UABC los titulares de los órganos de Control, Vigilancia y Jurídicos de instituciones de educación superior</w:t>
      </w:r>
    </w:p>
    <w:p w14:paraId="2CBF8B3B" w14:textId="77777777" w:rsidR="005B0AA9" w:rsidRPr="005B0AA9" w:rsidRDefault="005B0AA9" w:rsidP="005B0AA9">
      <w:pPr>
        <w:shd w:val="clear" w:color="auto" w:fill="FFFFFF"/>
        <w:jc w:val="center"/>
        <w:rPr>
          <w:rFonts w:ascii="Arial" w:hAnsi="Arial" w:cs="Arial"/>
          <w:b/>
          <w:sz w:val="16"/>
          <w:szCs w:val="16"/>
        </w:rPr>
      </w:pPr>
    </w:p>
    <w:p w14:paraId="3B643BBB" w14:textId="1707E640" w:rsidR="005B0AA9" w:rsidRPr="00F33FE2" w:rsidRDefault="00F33FE2" w:rsidP="005B0AA9">
      <w:pPr>
        <w:pStyle w:val="Prrafodelista"/>
        <w:numPr>
          <w:ilvl w:val="0"/>
          <w:numId w:val="44"/>
        </w:numPr>
        <w:ind w:left="284" w:hanging="284"/>
        <w:jc w:val="both"/>
        <w:rPr>
          <w:rFonts w:ascii="Arial" w:hAnsi="Arial" w:cs="Arial"/>
          <w:spacing w:val="-4"/>
          <w:sz w:val="24"/>
          <w:szCs w:val="24"/>
        </w:rPr>
      </w:pPr>
      <w:r w:rsidRPr="00F33FE2">
        <w:rPr>
          <w:rFonts w:ascii="Arial" w:hAnsi="Arial" w:cs="Arial"/>
          <w:spacing w:val="-4"/>
          <w:sz w:val="24"/>
          <w:szCs w:val="24"/>
        </w:rPr>
        <w:t xml:space="preserve">Esta reunión fortalecerá los lazos de las instituciones </w:t>
      </w:r>
      <w:r w:rsidR="005B0AA9" w:rsidRPr="00F33FE2">
        <w:rPr>
          <w:rFonts w:ascii="Arial" w:hAnsi="Arial" w:cs="Arial"/>
          <w:spacing w:val="-4"/>
          <w:sz w:val="24"/>
          <w:szCs w:val="24"/>
        </w:rPr>
        <w:t xml:space="preserve">de educación superior </w:t>
      </w:r>
      <w:r w:rsidRPr="00F33FE2">
        <w:rPr>
          <w:rFonts w:ascii="Arial" w:hAnsi="Arial" w:cs="Arial"/>
          <w:spacing w:val="-4"/>
          <w:sz w:val="24"/>
          <w:szCs w:val="24"/>
        </w:rPr>
        <w:t xml:space="preserve">pública </w:t>
      </w:r>
      <w:r w:rsidR="005B0AA9" w:rsidRPr="00F33FE2">
        <w:rPr>
          <w:rFonts w:ascii="Arial" w:hAnsi="Arial" w:cs="Arial"/>
          <w:spacing w:val="-4"/>
          <w:sz w:val="24"/>
          <w:szCs w:val="24"/>
        </w:rPr>
        <w:t>de México.</w:t>
      </w:r>
    </w:p>
    <w:p w14:paraId="0F544EED" w14:textId="77777777" w:rsidR="005B0AA9" w:rsidRPr="005B0AA9" w:rsidRDefault="005B0AA9" w:rsidP="005B0AA9">
      <w:pPr>
        <w:jc w:val="both"/>
        <w:rPr>
          <w:rFonts w:ascii="Arial" w:hAnsi="Arial" w:cs="Arial"/>
          <w:sz w:val="16"/>
          <w:szCs w:val="16"/>
        </w:rPr>
      </w:pPr>
    </w:p>
    <w:p w14:paraId="30649358" w14:textId="2A6F10B6" w:rsidR="005B0AA9" w:rsidRPr="005B0AA9" w:rsidRDefault="005B0AA9" w:rsidP="005B0AA9">
      <w:pPr>
        <w:jc w:val="both"/>
        <w:rPr>
          <w:rFonts w:ascii="Arial" w:hAnsi="Arial" w:cs="Arial"/>
          <w:sz w:val="24"/>
          <w:szCs w:val="24"/>
        </w:rPr>
      </w:pPr>
      <w:r w:rsidRPr="00F33FE2">
        <w:rPr>
          <w:rFonts w:ascii="Arial" w:hAnsi="Arial" w:cs="Arial"/>
          <w:b/>
          <w:sz w:val="24"/>
          <w:szCs w:val="24"/>
        </w:rPr>
        <w:t xml:space="preserve">Tijuana, Baja California, </w:t>
      </w:r>
      <w:r w:rsidR="00F33FE2">
        <w:rPr>
          <w:rFonts w:ascii="Arial" w:hAnsi="Arial" w:cs="Arial"/>
          <w:b/>
          <w:sz w:val="24"/>
          <w:szCs w:val="24"/>
        </w:rPr>
        <w:t>sábado 12</w:t>
      </w:r>
      <w:r w:rsidRPr="00F33FE2">
        <w:rPr>
          <w:rFonts w:ascii="Arial" w:hAnsi="Arial" w:cs="Arial"/>
          <w:b/>
          <w:sz w:val="24"/>
          <w:szCs w:val="24"/>
        </w:rPr>
        <w:t xml:space="preserve"> de noviembre de 2022</w:t>
      </w:r>
      <w:r w:rsidRPr="005B0AA9">
        <w:rPr>
          <w:rFonts w:ascii="Arial" w:hAnsi="Arial" w:cs="Arial"/>
          <w:sz w:val="24"/>
          <w:szCs w:val="24"/>
        </w:rPr>
        <w:t xml:space="preserve">.- Con el propósito de analizar </w:t>
      </w:r>
      <w:r w:rsidR="00F33FE2">
        <w:rPr>
          <w:rFonts w:ascii="Arial" w:hAnsi="Arial" w:cs="Arial"/>
          <w:sz w:val="24"/>
          <w:szCs w:val="24"/>
        </w:rPr>
        <w:t>temáticas significativa</w:t>
      </w:r>
      <w:r w:rsidRPr="005B0AA9">
        <w:rPr>
          <w:rFonts w:ascii="Arial" w:hAnsi="Arial" w:cs="Arial"/>
          <w:sz w:val="24"/>
          <w:szCs w:val="24"/>
        </w:rPr>
        <w:t>s para la comunidad universitaria, como autonomía, violencia de género, reforma educativa, gratuidad, obligatoriedad, prácticas antisoborno, responsabilidad administrativa, Ley Orgánica de las universidade</w:t>
      </w:r>
      <w:r w:rsidR="00F33FE2">
        <w:rPr>
          <w:rFonts w:ascii="Arial" w:hAnsi="Arial" w:cs="Arial"/>
          <w:sz w:val="24"/>
          <w:szCs w:val="24"/>
        </w:rPr>
        <w:t>s públicas autónomas, entre otra</w:t>
      </w:r>
      <w:r w:rsidRPr="005B0AA9">
        <w:rPr>
          <w:rFonts w:ascii="Arial" w:hAnsi="Arial" w:cs="Arial"/>
          <w:sz w:val="24"/>
          <w:szCs w:val="24"/>
        </w:rPr>
        <w:t>s, la Universidad Autónoma de Baja California (UABC) será la sede de la LVII Asamblea General Ordinaria de la Asociación Mexicana de Órganos de Control y Vigilancia en Instituciones de Educación Superior, A.C. (Amocvies) y del XIV Seminario de la Red Jurídica de Universidades Públicas (REJUP).</w:t>
      </w:r>
    </w:p>
    <w:p w14:paraId="1D75681E" w14:textId="77777777" w:rsidR="005B0AA9" w:rsidRPr="005B0AA9" w:rsidRDefault="005B0AA9" w:rsidP="005B0AA9">
      <w:pPr>
        <w:jc w:val="both"/>
        <w:rPr>
          <w:rFonts w:ascii="Arial" w:hAnsi="Arial" w:cs="Arial"/>
          <w:sz w:val="16"/>
          <w:szCs w:val="16"/>
        </w:rPr>
      </w:pPr>
    </w:p>
    <w:p w14:paraId="3C2815E0" w14:textId="77777777" w:rsidR="005B0AA9" w:rsidRPr="005B0AA9" w:rsidRDefault="005B0AA9" w:rsidP="005B0AA9">
      <w:pPr>
        <w:jc w:val="both"/>
        <w:rPr>
          <w:rFonts w:ascii="Arial" w:hAnsi="Arial" w:cs="Arial"/>
          <w:sz w:val="24"/>
          <w:szCs w:val="24"/>
        </w:rPr>
      </w:pPr>
      <w:r w:rsidRPr="005B0AA9">
        <w:rPr>
          <w:rFonts w:ascii="Arial" w:hAnsi="Arial" w:cs="Arial"/>
          <w:sz w:val="24"/>
          <w:szCs w:val="24"/>
        </w:rPr>
        <w:t>Se congregarán en un mismo evento los titulares de los organismos encargados de la gestión administrativa y jurídica de las instituciones de educación superior de México. Bajo el tema “Los órganos internos de control de las oficinas de la abogacía general: una vinculación institucional necesaria” trabajarán del 16 al 18 de noviembre en las instalaciones de la UABC, Campus Tijuana.</w:t>
      </w:r>
    </w:p>
    <w:p w14:paraId="68DBF715" w14:textId="77777777" w:rsidR="005B0AA9" w:rsidRPr="00F33FE2" w:rsidRDefault="005B0AA9" w:rsidP="005B0AA9">
      <w:pPr>
        <w:jc w:val="both"/>
        <w:rPr>
          <w:rFonts w:ascii="Arial" w:hAnsi="Arial" w:cs="Arial"/>
          <w:sz w:val="16"/>
          <w:szCs w:val="16"/>
        </w:rPr>
      </w:pPr>
    </w:p>
    <w:p w14:paraId="59A2D01F" w14:textId="39F84E5A" w:rsidR="005B0AA9" w:rsidRPr="005B0AA9" w:rsidRDefault="005B0AA9" w:rsidP="005B0AA9">
      <w:pPr>
        <w:jc w:val="both"/>
        <w:rPr>
          <w:rFonts w:ascii="Arial" w:hAnsi="Arial" w:cs="Arial"/>
          <w:sz w:val="24"/>
          <w:szCs w:val="24"/>
        </w:rPr>
      </w:pPr>
      <w:r w:rsidRPr="005B0AA9">
        <w:rPr>
          <w:rFonts w:ascii="Arial" w:hAnsi="Arial" w:cs="Arial"/>
          <w:sz w:val="24"/>
          <w:szCs w:val="24"/>
        </w:rPr>
        <w:t xml:space="preserve">La Amocvies es </w:t>
      </w:r>
      <w:r w:rsidR="00F33FE2">
        <w:rPr>
          <w:rFonts w:ascii="Arial" w:hAnsi="Arial" w:cs="Arial"/>
          <w:sz w:val="24"/>
          <w:szCs w:val="24"/>
        </w:rPr>
        <w:t xml:space="preserve">un </w:t>
      </w:r>
      <w:r w:rsidRPr="005B0AA9">
        <w:rPr>
          <w:rFonts w:ascii="Arial" w:hAnsi="Arial" w:cs="Arial"/>
          <w:sz w:val="24"/>
          <w:szCs w:val="24"/>
        </w:rPr>
        <w:t xml:space="preserve">organismo que tiene como finalidad reforzar la credibilidad de la gestión administrativa con la comunidad universitaria y sociedad en general, mientras que la REJUP es un espacio permanente de formación jurídica relacionado con la universidad pública y la protección de la autonomía universitaria. </w:t>
      </w:r>
    </w:p>
    <w:p w14:paraId="561719E4" w14:textId="77777777" w:rsidR="005B0AA9" w:rsidRPr="00F33FE2" w:rsidRDefault="005B0AA9" w:rsidP="005B0AA9">
      <w:pPr>
        <w:jc w:val="both"/>
        <w:rPr>
          <w:rFonts w:ascii="Arial" w:hAnsi="Arial" w:cs="Arial"/>
          <w:sz w:val="16"/>
          <w:szCs w:val="16"/>
        </w:rPr>
      </w:pPr>
    </w:p>
    <w:p w14:paraId="4F49177E" w14:textId="77777777" w:rsidR="005B0AA9" w:rsidRPr="005B0AA9" w:rsidRDefault="005B0AA9" w:rsidP="005B0AA9">
      <w:pPr>
        <w:jc w:val="both"/>
        <w:rPr>
          <w:rFonts w:ascii="Arial" w:hAnsi="Arial" w:cs="Arial"/>
          <w:sz w:val="24"/>
          <w:szCs w:val="24"/>
        </w:rPr>
      </w:pPr>
      <w:r w:rsidRPr="005B0AA9">
        <w:rPr>
          <w:rFonts w:ascii="Arial" w:hAnsi="Arial" w:cs="Arial"/>
          <w:sz w:val="24"/>
          <w:szCs w:val="24"/>
        </w:rPr>
        <w:t xml:space="preserve">Entre las personalidades participantes se encuentran el doctor Daniel Octavio Valdez Delgadillo, rector de la UABC; maestro René Javier Soto Cavazos, coordinador de la REJUP, y el contador Alfredo Nájar Fuentes, presidente del Consejo Directivo de la Amocvies.  </w:t>
      </w:r>
    </w:p>
    <w:p w14:paraId="42172A8B" w14:textId="77777777" w:rsidR="005B0AA9" w:rsidRPr="00F33FE2" w:rsidRDefault="005B0AA9" w:rsidP="005B0AA9">
      <w:pPr>
        <w:jc w:val="both"/>
        <w:rPr>
          <w:rFonts w:ascii="Arial" w:hAnsi="Arial" w:cs="Arial"/>
          <w:sz w:val="16"/>
          <w:szCs w:val="16"/>
        </w:rPr>
      </w:pPr>
    </w:p>
    <w:p w14:paraId="0DC7F44F" w14:textId="77777777" w:rsidR="005B0AA9" w:rsidRPr="00F33FE2" w:rsidRDefault="005B0AA9" w:rsidP="005B0AA9">
      <w:pPr>
        <w:jc w:val="both"/>
        <w:rPr>
          <w:rFonts w:ascii="Arial" w:hAnsi="Arial" w:cs="Arial"/>
          <w:spacing w:val="-2"/>
          <w:sz w:val="24"/>
          <w:szCs w:val="24"/>
        </w:rPr>
      </w:pPr>
      <w:r w:rsidRPr="00F33FE2">
        <w:rPr>
          <w:rFonts w:ascii="Arial" w:hAnsi="Arial" w:cs="Arial"/>
          <w:spacing w:val="-2"/>
          <w:sz w:val="24"/>
          <w:szCs w:val="24"/>
        </w:rPr>
        <w:t>Entre los ponentes se encuentran la doctora Carmen Enedina Rodríguez Armenta, directora general de Educación Superior Universitaria e Intercultural; magistrado Carlos Rodolfo Montero Vázquez, magistrado presidente del Tribunal Estatal de Justicia Administrativa de Baja California; maestra Miriam Lizbeth Félix Diarte, jueza de Distrito en materia laboral; maestro Adrián Alcalá Méndez, comisionado del INAI; maestro Octavio Mena Alarcón, director general de Auditoría del Gasto Federalizado B de la Auditoría Superior de la Federación, entre otros.</w:t>
      </w:r>
    </w:p>
    <w:p w14:paraId="4AF43E0F" w14:textId="77777777" w:rsidR="005B0AA9" w:rsidRPr="00F33FE2" w:rsidRDefault="005B0AA9" w:rsidP="005B0AA9">
      <w:pPr>
        <w:jc w:val="both"/>
        <w:rPr>
          <w:rFonts w:ascii="Arial" w:hAnsi="Arial" w:cs="Arial"/>
          <w:sz w:val="16"/>
          <w:szCs w:val="16"/>
        </w:rPr>
      </w:pPr>
    </w:p>
    <w:p w14:paraId="16FDAA9B" w14:textId="20F46C9E" w:rsidR="005B0AA9" w:rsidRPr="005B0AA9" w:rsidRDefault="005B0AA9" w:rsidP="005B0AA9">
      <w:pPr>
        <w:jc w:val="both"/>
        <w:rPr>
          <w:rFonts w:ascii="Arial" w:hAnsi="Arial" w:cs="Arial"/>
          <w:sz w:val="24"/>
          <w:szCs w:val="24"/>
        </w:rPr>
      </w:pPr>
      <w:r w:rsidRPr="005B0AA9">
        <w:rPr>
          <w:rFonts w:ascii="Arial" w:hAnsi="Arial" w:cs="Arial"/>
          <w:sz w:val="24"/>
          <w:szCs w:val="24"/>
        </w:rPr>
        <w:t xml:space="preserve">El doctor David Álvarez García, abogado general de la UABC, destacó que la trascendencia de esta reunión es que fortalecerá los lazos de las instituciones educativas, lo que les permitirá dar respuestas contundentes en los asuntos comunes, ante los posibles riesgos y amenazas. Por ello se buscó la oportunidad de unir conocimientos y esfuerzos en un mismo evento, donde también se firmará un convenio general de colaboración entre la Amocvies </w:t>
      </w:r>
      <w:r w:rsidR="00701AAB">
        <w:rPr>
          <w:rFonts w:ascii="Arial" w:hAnsi="Arial" w:cs="Arial"/>
          <w:sz w:val="24"/>
          <w:szCs w:val="24"/>
        </w:rPr>
        <w:t>y la REJUP</w:t>
      </w:r>
      <w:bookmarkStart w:id="1" w:name="_GoBack"/>
      <w:bookmarkEnd w:id="1"/>
      <w:r w:rsidRPr="005B0AA9">
        <w:rPr>
          <w:rFonts w:ascii="Arial" w:hAnsi="Arial" w:cs="Arial"/>
          <w:sz w:val="24"/>
          <w:szCs w:val="24"/>
        </w:rPr>
        <w:t>, así como un convenio de la REJUP con 24 universidades públicas autónomas del país.</w:t>
      </w:r>
    </w:p>
    <w:p w14:paraId="1C86B807" w14:textId="77777777" w:rsidR="005B0AA9" w:rsidRPr="00F33FE2" w:rsidRDefault="005B0AA9" w:rsidP="005B0AA9">
      <w:pPr>
        <w:jc w:val="both"/>
        <w:rPr>
          <w:rFonts w:ascii="Arial" w:hAnsi="Arial" w:cs="Arial"/>
          <w:sz w:val="16"/>
          <w:szCs w:val="16"/>
        </w:rPr>
      </w:pPr>
    </w:p>
    <w:p w14:paraId="424A4A94" w14:textId="774EB576" w:rsidR="00627113" w:rsidRPr="00627113" w:rsidRDefault="005B0AA9" w:rsidP="005B0AA9">
      <w:pPr>
        <w:jc w:val="both"/>
        <w:rPr>
          <w:rFonts w:ascii="Times New Roman" w:hAnsi="Times New Roman"/>
          <w:b/>
          <w:bCs/>
        </w:rPr>
      </w:pPr>
      <w:r w:rsidRPr="005B0AA9">
        <w:rPr>
          <w:rFonts w:ascii="Arial" w:hAnsi="Arial" w:cs="Arial"/>
          <w:sz w:val="24"/>
          <w:szCs w:val="24"/>
        </w:rPr>
        <w:t>Para finalizar, destacó que la UABC se ha distinguido por ser punta de lanza en diversas iniciativas y prácticas que mejoran los procesos educativos, y compartirlas con el resto de las universidades públicas es parte de su responsabilidad social.</w:t>
      </w:r>
    </w:p>
    <w:p w14:paraId="389150E7" w14:textId="77777777" w:rsidR="00627113" w:rsidRDefault="00627113" w:rsidP="004C19C3">
      <w:pPr>
        <w:autoSpaceDN/>
        <w:jc w:val="both"/>
        <w:rPr>
          <w:rFonts w:ascii="Arial" w:eastAsia="Arial" w:hAnsi="Arial" w:cs="Arial"/>
          <w:color w:val="222222"/>
          <w:sz w:val="24"/>
          <w:szCs w:val="24"/>
        </w:rPr>
      </w:pPr>
    </w:p>
    <w:sectPr w:rsidR="00627113" w:rsidSect="007F68ED">
      <w:pgSz w:w="12240" w:h="15840" w:code="1"/>
      <w:pgMar w:top="0" w:right="1183" w:bottom="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D5403" w14:textId="77777777" w:rsidR="004E6B08" w:rsidRDefault="004E6B08">
      <w:r>
        <w:separator/>
      </w:r>
    </w:p>
  </w:endnote>
  <w:endnote w:type="continuationSeparator" w:id="0">
    <w:p w14:paraId="1E4E4841" w14:textId="77777777" w:rsidR="004E6B08" w:rsidRDefault="004E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E1DFB" w14:textId="77777777" w:rsidR="004E6B08" w:rsidRDefault="004E6B08">
      <w:r>
        <w:rPr>
          <w:color w:val="000000"/>
        </w:rPr>
        <w:separator/>
      </w:r>
    </w:p>
  </w:footnote>
  <w:footnote w:type="continuationSeparator" w:id="0">
    <w:p w14:paraId="3C199DFD" w14:textId="77777777" w:rsidR="004E6B08" w:rsidRDefault="004E6B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6"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9994EBE"/>
    <w:multiLevelType w:val="hybridMultilevel"/>
    <w:tmpl w:val="468A9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0"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15"/>
  </w:num>
  <w:num w:numId="4">
    <w:abstractNumId w:val="3"/>
  </w:num>
  <w:num w:numId="5">
    <w:abstractNumId w:val="28"/>
  </w:num>
  <w:num w:numId="6">
    <w:abstractNumId w:val="16"/>
  </w:num>
  <w:num w:numId="7">
    <w:abstractNumId w:val="37"/>
  </w:num>
  <w:num w:numId="8">
    <w:abstractNumId w:val="24"/>
  </w:num>
  <w:num w:numId="9">
    <w:abstractNumId w:val="40"/>
  </w:num>
  <w:num w:numId="10">
    <w:abstractNumId w:val="42"/>
  </w:num>
  <w:num w:numId="11">
    <w:abstractNumId w:val="39"/>
  </w:num>
  <w:num w:numId="12">
    <w:abstractNumId w:val="19"/>
  </w:num>
  <w:num w:numId="13">
    <w:abstractNumId w:val="7"/>
  </w:num>
  <w:num w:numId="14">
    <w:abstractNumId w:val="17"/>
  </w:num>
  <w:num w:numId="15">
    <w:abstractNumId w:val="23"/>
  </w:num>
  <w:num w:numId="16">
    <w:abstractNumId w:val="15"/>
  </w:num>
  <w:num w:numId="17">
    <w:abstractNumId w:val="6"/>
  </w:num>
  <w:num w:numId="18">
    <w:abstractNumId w:val="38"/>
  </w:num>
  <w:num w:numId="19">
    <w:abstractNumId w:val="33"/>
  </w:num>
  <w:num w:numId="20">
    <w:abstractNumId w:val="35"/>
  </w:num>
  <w:num w:numId="21">
    <w:abstractNumId w:val="36"/>
  </w:num>
  <w:num w:numId="22">
    <w:abstractNumId w:val="18"/>
  </w:num>
  <w:num w:numId="23">
    <w:abstractNumId w:val="11"/>
  </w:num>
  <w:num w:numId="24">
    <w:abstractNumId w:val="31"/>
  </w:num>
  <w:num w:numId="25">
    <w:abstractNumId w:val="14"/>
  </w:num>
  <w:num w:numId="26">
    <w:abstractNumId w:val="0"/>
  </w:num>
  <w:num w:numId="27">
    <w:abstractNumId w:val="12"/>
  </w:num>
  <w:num w:numId="28">
    <w:abstractNumId w:val="41"/>
  </w:num>
  <w:num w:numId="29">
    <w:abstractNumId w:val="4"/>
  </w:num>
  <w:num w:numId="30">
    <w:abstractNumId w:val="2"/>
  </w:num>
  <w:num w:numId="31">
    <w:abstractNumId w:val="5"/>
  </w:num>
  <w:num w:numId="32">
    <w:abstractNumId w:val="21"/>
  </w:num>
  <w:num w:numId="33">
    <w:abstractNumId w:val="9"/>
  </w:num>
  <w:num w:numId="34">
    <w:abstractNumId w:val="26"/>
  </w:num>
  <w:num w:numId="35">
    <w:abstractNumId w:val="1"/>
  </w:num>
  <w:num w:numId="36">
    <w:abstractNumId w:val="22"/>
  </w:num>
  <w:num w:numId="37">
    <w:abstractNumId w:val="8"/>
  </w:num>
  <w:num w:numId="38">
    <w:abstractNumId w:val="10"/>
  </w:num>
  <w:num w:numId="39">
    <w:abstractNumId w:val="25"/>
  </w:num>
  <w:num w:numId="40">
    <w:abstractNumId w:val="32"/>
  </w:num>
  <w:num w:numId="41">
    <w:abstractNumId w:val="34"/>
  </w:num>
  <w:num w:numId="42">
    <w:abstractNumId w:val="27"/>
  </w:num>
  <w:num w:numId="43">
    <w:abstractNumId w:val="13"/>
  </w:num>
  <w:num w:numId="44">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4ECD"/>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2EFF"/>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8A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5F6"/>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71"/>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219"/>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1EC6"/>
    <w:rsid w:val="002D211C"/>
    <w:rsid w:val="002D2260"/>
    <w:rsid w:val="002D27CE"/>
    <w:rsid w:val="002D2960"/>
    <w:rsid w:val="002D3058"/>
    <w:rsid w:val="002D3410"/>
    <w:rsid w:val="002D3640"/>
    <w:rsid w:val="002D38DE"/>
    <w:rsid w:val="002D3B17"/>
    <w:rsid w:val="002D40D3"/>
    <w:rsid w:val="002D415A"/>
    <w:rsid w:val="002D41D9"/>
    <w:rsid w:val="002D479D"/>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44E"/>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4D8E"/>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1D7"/>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B08"/>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9C"/>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AA9"/>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35"/>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218"/>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517"/>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78"/>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AAB"/>
    <w:rsid w:val="00701F8E"/>
    <w:rsid w:val="00702099"/>
    <w:rsid w:val="0070231F"/>
    <w:rsid w:val="00702661"/>
    <w:rsid w:val="00702A96"/>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2C"/>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214"/>
    <w:rsid w:val="0082374A"/>
    <w:rsid w:val="008237B2"/>
    <w:rsid w:val="00823C3B"/>
    <w:rsid w:val="00823D91"/>
    <w:rsid w:val="008244D0"/>
    <w:rsid w:val="00824975"/>
    <w:rsid w:val="00824B14"/>
    <w:rsid w:val="00825264"/>
    <w:rsid w:val="008252F1"/>
    <w:rsid w:val="00825C1C"/>
    <w:rsid w:val="00827606"/>
    <w:rsid w:val="008276D8"/>
    <w:rsid w:val="00827C66"/>
    <w:rsid w:val="00827DD7"/>
    <w:rsid w:val="008306FC"/>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EFC"/>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ACA"/>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60A6"/>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14"/>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39F"/>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981"/>
    <w:rsid w:val="00A75EAF"/>
    <w:rsid w:val="00A764C7"/>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58E"/>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5F13"/>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E08"/>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333"/>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5CC"/>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3FE2"/>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E8CAA8EF-5049-4478-AD91-4065291E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 w:type="paragraph" w:customStyle="1" w:styleId="text-center">
    <w:name w:val="text-center"/>
    <w:basedOn w:val="Normal"/>
    <w:rsid w:val="00E775CC"/>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14234722">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380633237">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905290466">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85102851">
          <w:marLeft w:val="0"/>
          <w:marRight w:val="0"/>
          <w:marTop w:val="0"/>
          <w:marBottom w:val="0"/>
          <w:divBdr>
            <w:top w:val="none" w:sz="0" w:space="0" w:color="auto"/>
            <w:left w:val="none" w:sz="0" w:space="0" w:color="auto"/>
            <w:bottom w:val="none" w:sz="0" w:space="0" w:color="auto"/>
            <w:right w:val="none" w:sz="0" w:space="0" w:color="auto"/>
          </w:divBdr>
        </w:div>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 w:id="1918173665">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19746882">
          <w:marLeft w:val="0"/>
          <w:marRight w:val="0"/>
          <w:marTop w:val="0"/>
          <w:marBottom w:val="0"/>
          <w:divBdr>
            <w:top w:val="none" w:sz="0" w:space="0" w:color="auto"/>
            <w:left w:val="none" w:sz="0" w:space="0" w:color="auto"/>
            <w:bottom w:val="none" w:sz="0" w:space="0" w:color="auto"/>
            <w:right w:val="none" w:sz="0" w:space="0" w:color="auto"/>
          </w:divBdr>
          <w:divsChild>
            <w:div w:id="545874621">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1060326172">
              <w:marLeft w:val="0"/>
              <w:marRight w:val="0"/>
              <w:marTop w:val="0"/>
              <w:marBottom w:val="0"/>
              <w:divBdr>
                <w:top w:val="none" w:sz="0" w:space="0" w:color="auto"/>
                <w:left w:val="none" w:sz="0" w:space="0" w:color="auto"/>
                <w:bottom w:val="none" w:sz="0" w:space="0" w:color="auto"/>
                <w:right w:val="none" w:sz="0" w:space="0" w:color="auto"/>
              </w:divBdr>
              <w:divsChild>
                <w:div w:id="1069957733">
                  <w:marLeft w:val="0"/>
                  <w:marRight w:val="0"/>
                  <w:marTop w:val="0"/>
                  <w:marBottom w:val="0"/>
                  <w:divBdr>
                    <w:top w:val="none" w:sz="0" w:space="0" w:color="auto"/>
                    <w:left w:val="none" w:sz="0" w:space="0" w:color="auto"/>
                    <w:bottom w:val="none" w:sz="0" w:space="0" w:color="auto"/>
                    <w:right w:val="none" w:sz="0" w:space="0" w:color="auto"/>
                  </w:divBdr>
                </w:div>
                <w:div w:id="1947302141">
                  <w:marLeft w:val="0"/>
                  <w:marRight w:val="0"/>
                  <w:marTop w:val="0"/>
                  <w:marBottom w:val="0"/>
                  <w:divBdr>
                    <w:top w:val="none" w:sz="0" w:space="0" w:color="auto"/>
                    <w:left w:val="none" w:sz="0" w:space="0" w:color="auto"/>
                    <w:bottom w:val="none" w:sz="0" w:space="0" w:color="auto"/>
                    <w:right w:val="none" w:sz="0" w:space="0" w:color="auto"/>
                  </w:divBdr>
                  <w:divsChild>
                    <w:div w:id="282425579">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 w:id="120660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8798">
              <w:marLeft w:val="0"/>
              <w:marRight w:val="0"/>
              <w:marTop w:val="0"/>
              <w:marBottom w:val="0"/>
              <w:divBdr>
                <w:top w:val="none" w:sz="0" w:space="0" w:color="auto"/>
                <w:left w:val="none" w:sz="0" w:space="0" w:color="auto"/>
                <w:bottom w:val="none" w:sz="0" w:space="0" w:color="auto"/>
                <w:right w:val="none" w:sz="0" w:space="0" w:color="auto"/>
              </w:divBdr>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sChild>
        </w:div>
        <w:div w:id="268974673">
          <w:marLeft w:val="0"/>
          <w:marRight w:val="0"/>
          <w:marTop w:val="0"/>
          <w:marBottom w:val="0"/>
          <w:divBdr>
            <w:top w:val="none" w:sz="0" w:space="0" w:color="auto"/>
            <w:left w:val="none" w:sz="0" w:space="0" w:color="auto"/>
            <w:bottom w:val="none" w:sz="0" w:space="0" w:color="auto"/>
            <w:right w:val="none" w:sz="0" w:space="0" w:color="auto"/>
          </w:divBdr>
        </w:div>
        <w:div w:id="442654185">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022122905">
          <w:marLeft w:val="0"/>
          <w:marRight w:val="0"/>
          <w:marTop w:val="0"/>
          <w:marBottom w:val="0"/>
          <w:divBdr>
            <w:top w:val="none" w:sz="0" w:space="0" w:color="auto"/>
            <w:left w:val="none" w:sz="0" w:space="0" w:color="auto"/>
            <w:bottom w:val="none" w:sz="0" w:space="0" w:color="auto"/>
            <w:right w:val="none" w:sz="0" w:space="0" w:color="auto"/>
          </w:divBdr>
        </w:div>
        <w:div w:id="1628465358">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334191439">
          <w:marLeft w:val="0"/>
          <w:marRight w:val="0"/>
          <w:marTop w:val="0"/>
          <w:marBottom w:val="0"/>
          <w:divBdr>
            <w:top w:val="none" w:sz="0" w:space="0" w:color="auto"/>
            <w:left w:val="none" w:sz="0" w:space="0" w:color="auto"/>
            <w:bottom w:val="none" w:sz="0" w:space="0" w:color="auto"/>
            <w:right w:val="none" w:sz="0" w:space="0" w:color="auto"/>
          </w:divBdr>
        </w:div>
        <w:div w:id="1551845058">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495805775">
          <w:marLeft w:val="360"/>
          <w:marRight w:val="0"/>
          <w:marTop w:val="200"/>
          <w:marBottom w:val="0"/>
          <w:divBdr>
            <w:top w:val="none" w:sz="0" w:space="0" w:color="auto"/>
            <w:left w:val="none" w:sz="0" w:space="0" w:color="auto"/>
            <w:bottom w:val="none" w:sz="0" w:space="0" w:color="auto"/>
            <w:right w:val="none" w:sz="0" w:space="0" w:color="auto"/>
          </w:divBdr>
        </w:div>
        <w:div w:id="1402287789">
          <w:marLeft w:val="36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338146365">
          <w:marLeft w:val="0"/>
          <w:marRight w:val="0"/>
          <w:marTop w:val="0"/>
          <w:marBottom w:val="0"/>
          <w:divBdr>
            <w:top w:val="single" w:sz="2" w:space="11" w:color="D4D4D4"/>
            <w:left w:val="none" w:sz="0" w:space="15" w:color="auto"/>
            <w:bottom w:val="none" w:sz="0" w:space="11" w:color="auto"/>
            <w:right w:val="none" w:sz="0" w:space="15" w:color="auto"/>
          </w:divBdr>
        </w:div>
        <w:div w:id="1436512369">
          <w:marLeft w:val="0"/>
          <w:marRight w:val="0"/>
          <w:marTop w:val="0"/>
          <w:marBottom w:val="0"/>
          <w:divBdr>
            <w:top w:val="none" w:sz="0" w:space="11" w:color="auto"/>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835850548">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2044478520">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1035079">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336736587">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994380418">
          <w:marLeft w:val="0"/>
          <w:marRight w:val="0"/>
          <w:marTop w:val="0"/>
          <w:marBottom w:val="0"/>
          <w:divBdr>
            <w:top w:val="none" w:sz="0" w:space="0" w:color="auto"/>
            <w:left w:val="none" w:sz="0" w:space="0" w:color="auto"/>
            <w:bottom w:val="none" w:sz="0" w:space="0" w:color="auto"/>
            <w:right w:val="none" w:sz="0" w:space="0" w:color="auto"/>
          </w:divBdr>
        </w:div>
      </w:divsChild>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401564555">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783034372">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68847358">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255403173">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463088585">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019087320">
                  <w:marLeft w:val="0"/>
                  <w:marRight w:val="0"/>
                  <w:marTop w:val="0"/>
                  <w:marBottom w:val="0"/>
                  <w:divBdr>
                    <w:top w:val="none" w:sz="0" w:space="0" w:color="auto"/>
                    <w:left w:val="none" w:sz="0" w:space="0" w:color="auto"/>
                    <w:bottom w:val="none" w:sz="0" w:space="0" w:color="auto"/>
                    <w:right w:val="none" w:sz="0" w:space="0" w:color="auto"/>
                  </w:divBdr>
                </w:div>
                <w:div w:id="1604192031">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951207703">
                      <w:marLeft w:val="0"/>
                      <w:marRight w:val="0"/>
                      <w:marTop w:val="0"/>
                      <w:marBottom w:val="0"/>
                      <w:divBdr>
                        <w:top w:val="none" w:sz="0" w:space="0" w:color="auto"/>
                        <w:left w:val="none" w:sz="0" w:space="0" w:color="auto"/>
                        <w:bottom w:val="none" w:sz="0" w:space="0" w:color="auto"/>
                        <w:right w:val="none" w:sz="0" w:space="0" w:color="auto"/>
                      </w:divBdr>
                    </w:div>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818251">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418988866">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 w:id="183764964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113208755">
          <w:marLeft w:val="0"/>
          <w:marRight w:val="0"/>
          <w:marTop w:val="0"/>
          <w:marBottom w:val="0"/>
          <w:divBdr>
            <w:top w:val="none" w:sz="0" w:space="0" w:color="auto"/>
            <w:left w:val="none" w:sz="0" w:space="0" w:color="auto"/>
            <w:bottom w:val="none" w:sz="0" w:space="0" w:color="auto"/>
            <w:right w:val="none" w:sz="0" w:space="0" w:color="auto"/>
          </w:divBdr>
        </w:div>
        <w:div w:id="311060635">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144978059">
          <w:marLeft w:val="0"/>
          <w:marRight w:val="0"/>
          <w:marTop w:val="0"/>
          <w:marBottom w:val="0"/>
          <w:divBdr>
            <w:top w:val="none" w:sz="0" w:space="0" w:color="auto"/>
            <w:left w:val="none" w:sz="0" w:space="0" w:color="auto"/>
            <w:bottom w:val="none" w:sz="0" w:space="0" w:color="auto"/>
            <w:right w:val="none" w:sz="0" w:space="0" w:color="auto"/>
          </w:divBdr>
        </w:div>
        <w:div w:id="23863334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294991154">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373843326">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47717901">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792943268">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125195963">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799637790">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8316679">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51801194">
          <w:marLeft w:val="0"/>
          <w:marRight w:val="0"/>
          <w:marTop w:val="0"/>
          <w:marBottom w:val="0"/>
          <w:divBdr>
            <w:top w:val="none" w:sz="0" w:space="0" w:color="auto"/>
            <w:left w:val="none" w:sz="0" w:space="0" w:color="auto"/>
            <w:bottom w:val="none" w:sz="0" w:space="0" w:color="auto"/>
            <w:right w:val="none" w:sz="0" w:space="0" w:color="auto"/>
          </w:divBdr>
        </w:div>
        <w:div w:id="334571910">
          <w:marLeft w:val="0"/>
          <w:marRight w:val="0"/>
          <w:marTop w:val="0"/>
          <w:marBottom w:val="0"/>
          <w:divBdr>
            <w:top w:val="none" w:sz="0" w:space="0" w:color="auto"/>
            <w:left w:val="none" w:sz="0" w:space="0" w:color="auto"/>
            <w:bottom w:val="none" w:sz="0" w:space="0" w:color="auto"/>
            <w:right w:val="none" w:sz="0" w:space="0" w:color="auto"/>
          </w:divBdr>
        </w:div>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7382006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05028574">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35A1E-1CAC-4FB3-9EF2-70BFE981F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513</Words>
  <Characters>2824</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Angélica Gómez Bravo</dc:creator>
  <cp:keywords/>
  <dc:description/>
  <cp:lastModifiedBy>Comunicación</cp:lastModifiedBy>
  <cp:revision>3</cp:revision>
  <cp:lastPrinted>2022-10-18T20:05:00Z</cp:lastPrinted>
  <dcterms:created xsi:type="dcterms:W3CDTF">2022-11-10T22:04:00Z</dcterms:created>
  <dcterms:modified xsi:type="dcterms:W3CDTF">2022-11-12T19:49:00Z</dcterms:modified>
</cp:coreProperties>
</file>