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2A12C2CC" w:rsidR="007A78D8" w:rsidRPr="00CA69FC" w:rsidRDefault="00D335DF" w:rsidP="008306F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</w:t>
      </w:r>
      <w:r w:rsidR="00F82B92" w:rsidRPr="00502B07">
        <w:rPr>
          <w:rFonts w:ascii="Arial" w:hAnsi="Arial" w:cs="Arial"/>
          <w:b/>
          <w:sz w:val="24"/>
          <w:szCs w:val="24"/>
        </w:rPr>
        <w:t>BOLETÍN</w:t>
      </w:r>
      <w:r w:rsidR="00F82B92" w:rsidRPr="00F73FAE">
        <w:rPr>
          <w:rFonts w:ascii="Arial" w:hAnsi="Arial" w:cs="Arial"/>
          <w:b/>
          <w:sz w:val="24"/>
          <w:szCs w:val="24"/>
        </w:rPr>
        <w:t xml:space="preserve"> </w:t>
      </w:r>
      <w:r w:rsidR="00C87AD8" w:rsidRPr="00F73FAE">
        <w:rPr>
          <w:rFonts w:ascii="Arial" w:hAnsi="Arial" w:cs="Arial"/>
          <w:b/>
          <w:sz w:val="24"/>
          <w:szCs w:val="24"/>
        </w:rPr>
        <w:t>0</w:t>
      </w:r>
      <w:r w:rsidR="005B0AA9" w:rsidRPr="00F73FAE">
        <w:rPr>
          <w:rFonts w:ascii="Arial" w:hAnsi="Arial" w:cs="Arial"/>
          <w:b/>
          <w:sz w:val="24"/>
          <w:szCs w:val="24"/>
        </w:rPr>
        <w:t>6</w:t>
      </w:r>
      <w:r w:rsidR="00E12BE9">
        <w:rPr>
          <w:rFonts w:ascii="Arial" w:hAnsi="Arial" w:cs="Arial"/>
          <w:b/>
          <w:sz w:val="24"/>
          <w:szCs w:val="24"/>
        </w:rPr>
        <w:t>7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CFE57E6" w14:textId="77777777" w:rsidR="00FF3D0D" w:rsidRPr="00405408" w:rsidRDefault="00C1553C" w:rsidP="00405408">
      <w:pPr>
        <w:shd w:val="clear" w:color="auto" w:fill="FFFFFF"/>
        <w:ind w:left="-284" w:right="-284"/>
        <w:jc w:val="center"/>
        <w:rPr>
          <w:color w:val="222222"/>
          <w:spacing w:val="-6"/>
          <w:sz w:val="35"/>
          <w:szCs w:val="35"/>
        </w:rPr>
      </w:pPr>
      <w:r w:rsidRPr="00813604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End w:id="0"/>
      <w:r w:rsidR="00FF3D0D" w:rsidRPr="00405408">
        <w:rPr>
          <w:rFonts w:ascii="Arial" w:hAnsi="Arial" w:cs="Arial"/>
          <w:b/>
          <w:bCs/>
          <w:color w:val="222222"/>
          <w:spacing w:val="-6"/>
          <w:sz w:val="35"/>
          <w:szCs w:val="35"/>
        </w:rPr>
        <w:t>Ahorra UABC energía eléctrica con cubiertas solares fotovoltaicas</w:t>
      </w:r>
    </w:p>
    <w:p w14:paraId="547F0066" w14:textId="77777777" w:rsidR="00FF3D0D" w:rsidRPr="00FF3D0D" w:rsidRDefault="00FF3D0D" w:rsidP="00FF3D0D">
      <w:pPr>
        <w:shd w:val="clear" w:color="auto" w:fill="FFFFFF"/>
        <w:suppressAutoHyphens w:val="0"/>
        <w:autoSpaceDN/>
        <w:jc w:val="both"/>
        <w:textAlignment w:val="auto"/>
        <w:rPr>
          <w:color w:val="222222"/>
          <w:sz w:val="24"/>
          <w:szCs w:val="24"/>
        </w:rPr>
      </w:pPr>
      <w:bookmarkStart w:id="1" w:name="_GoBack"/>
      <w:r w:rsidRPr="00FF3D0D">
        <w:rPr>
          <w:rFonts w:ascii="Arial" w:hAnsi="Arial" w:cs="Arial"/>
          <w:b/>
          <w:bCs/>
          <w:color w:val="FF0000"/>
          <w:sz w:val="24"/>
          <w:szCs w:val="24"/>
        </w:rPr>
        <w:t> </w:t>
      </w:r>
    </w:p>
    <w:bookmarkEnd w:id="1"/>
    <w:p w14:paraId="26082EF1" w14:textId="77777777" w:rsidR="00405408" w:rsidRPr="00405408" w:rsidRDefault="00405408" w:rsidP="00405408">
      <w:pPr>
        <w:pStyle w:val="Prrafodelista"/>
        <w:numPr>
          <w:ilvl w:val="0"/>
          <w:numId w:val="49"/>
        </w:numPr>
        <w:shd w:val="clear" w:color="auto" w:fill="FFFFFF"/>
        <w:autoSpaceDN/>
        <w:ind w:left="284" w:hanging="284"/>
        <w:jc w:val="both"/>
        <w:textAlignment w:val="auto"/>
        <w:rPr>
          <w:color w:val="222222"/>
        </w:rPr>
      </w:pPr>
      <w:r w:rsidRPr="00405408">
        <w:rPr>
          <w:rFonts w:ascii="Arial" w:hAnsi="Arial" w:cs="Arial"/>
          <w:color w:val="202124"/>
          <w:sz w:val="24"/>
          <w:szCs w:val="24"/>
        </w:rPr>
        <w:t>Esta instalación permitirá ahorrar hasta 904,513 kilowatts anuales en el consumo eléctrico, lo que se traduce en más de 1,400, 000 mil pesos anuales en la facturación eléctrica.</w:t>
      </w:r>
    </w:p>
    <w:p w14:paraId="273F2DD6" w14:textId="77777777" w:rsidR="00FF3D0D" w:rsidRPr="00FF3D0D" w:rsidRDefault="00FF3D0D" w:rsidP="00FF3D0D">
      <w:pPr>
        <w:shd w:val="clear" w:color="auto" w:fill="FFFFFF"/>
        <w:suppressAutoHyphens w:val="0"/>
        <w:autoSpaceDN/>
        <w:jc w:val="center"/>
        <w:textAlignment w:val="auto"/>
        <w:rPr>
          <w:color w:val="222222"/>
          <w:sz w:val="24"/>
          <w:szCs w:val="24"/>
        </w:rPr>
      </w:pPr>
      <w:r w:rsidRPr="00FF3D0D">
        <w:rPr>
          <w:rFonts w:ascii="Arial" w:hAnsi="Arial" w:cs="Arial"/>
          <w:color w:val="222222"/>
          <w:sz w:val="24"/>
          <w:szCs w:val="24"/>
        </w:rPr>
        <w:t> </w:t>
      </w:r>
    </w:p>
    <w:p w14:paraId="3DCE29FB" w14:textId="788EC071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b/>
          <w:bCs/>
          <w:color w:val="222222"/>
          <w:sz w:val="24"/>
          <w:szCs w:val="24"/>
        </w:rPr>
        <w:t>Mexicali, Baja California, miércoles 23 de noviembre de 2022</w:t>
      </w:r>
      <w:r w:rsidRPr="00FF3D0D">
        <w:rPr>
          <w:rFonts w:ascii="Arial" w:hAnsi="Arial" w:cs="Arial"/>
          <w:color w:val="222222"/>
          <w:sz w:val="24"/>
          <w:szCs w:val="24"/>
        </w:rPr>
        <w:t>.- Se inauguró la construcción</w:t>
      </w:r>
      <w:r>
        <w:rPr>
          <w:rFonts w:ascii="Arial" w:hAnsi="Arial" w:cs="Arial"/>
          <w:color w:val="222222"/>
          <w:sz w:val="24"/>
          <w:szCs w:val="24"/>
        </w:rPr>
        <w:t xml:space="preserve"> del Sistema de Cubiertas Solares Fotovoltaicas</w:t>
      </w:r>
      <w:r w:rsidRPr="00FF3D0D">
        <w:rPr>
          <w:rFonts w:ascii="Arial" w:hAnsi="Arial" w:cs="Arial"/>
          <w:color w:val="222222"/>
          <w:sz w:val="24"/>
          <w:szCs w:val="24"/>
        </w:rPr>
        <w:t> en el estacionamiento de la Facultad de Ingeniería (FIM)</w:t>
      </w:r>
      <w:r w:rsidRPr="00FF3D0D">
        <w:rPr>
          <w:rFonts w:ascii="Arial" w:hAnsi="Arial" w:cs="Arial"/>
          <w:color w:val="000000"/>
          <w:sz w:val="24"/>
          <w:szCs w:val="24"/>
        </w:rPr>
        <w:t> </w:t>
      </w:r>
      <w:r w:rsidRPr="00FF3D0D">
        <w:rPr>
          <w:rFonts w:ascii="Arial" w:hAnsi="Arial" w:cs="Arial"/>
          <w:color w:val="222222"/>
          <w:sz w:val="24"/>
          <w:szCs w:val="24"/>
        </w:rPr>
        <w:t>de la Universidad Autónoma de Baja California (UABC), Campus Mexicali, Unidad Universitaria I. En esta obra se habilitaron bases de estructura </w:t>
      </w:r>
      <w:r w:rsidRPr="00FF3D0D">
        <w:rPr>
          <w:rFonts w:ascii="Arial" w:hAnsi="Arial" w:cs="Arial"/>
          <w:color w:val="000000"/>
          <w:sz w:val="24"/>
          <w:szCs w:val="24"/>
        </w:rPr>
        <w:t>metálica que</w:t>
      </w:r>
      <w:r>
        <w:rPr>
          <w:rFonts w:ascii="Arial" w:hAnsi="Arial" w:cs="Arial"/>
          <w:color w:val="000000"/>
          <w:sz w:val="24"/>
          <w:szCs w:val="24"/>
        </w:rPr>
        <w:t xml:space="preserve"> soporta</w:t>
      </w:r>
      <w:r w:rsidRPr="00FF3D0D">
        <w:rPr>
          <w:rFonts w:ascii="Arial" w:hAnsi="Arial" w:cs="Arial"/>
          <w:color w:val="000000"/>
          <w:sz w:val="24"/>
          <w:szCs w:val="24"/>
        </w:rPr>
        <w:t> las cubiertas en las que se instalaron los paneles fotovoltaicos que convierten la luz solar en electricidad de corriente continua durante las horas del día y se instaló un sistema con lámparas LED para iluminar el área durante las noches.</w:t>
      </w:r>
    </w:p>
    <w:p w14:paraId="292D67B7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222222"/>
          <w:sz w:val="16"/>
          <w:szCs w:val="16"/>
        </w:rPr>
        <w:t> </w:t>
      </w:r>
    </w:p>
    <w:p w14:paraId="4DF08FAD" w14:textId="0A3BC3CD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000000"/>
          <w:sz w:val="24"/>
          <w:szCs w:val="24"/>
        </w:rPr>
        <w:t>Esta obra, cuya inversión aproximada es de 33 millones de pesos, incluye la rehabilitación completa de la estructura del pavimento asfáltico, colocación de topes, pintado de señales y cajones para vehículos; igualmente se construyeron guarniciones y banquetas perimetrales. Además</w:t>
      </w:r>
      <w:r>
        <w:rPr>
          <w:rFonts w:ascii="Arial" w:hAnsi="Arial" w:cs="Arial"/>
          <w:color w:val="000000"/>
          <w:sz w:val="24"/>
          <w:szCs w:val="24"/>
        </w:rPr>
        <w:t xml:space="preserve">, anexo al área de paneles solares, </w:t>
      </w:r>
      <w:r w:rsidRPr="00FF3D0D">
        <w:rPr>
          <w:rFonts w:ascii="Arial" w:hAnsi="Arial" w:cs="Arial"/>
          <w:color w:val="000000"/>
          <w:sz w:val="24"/>
          <w:szCs w:val="24"/>
        </w:rPr>
        <w:t xml:space="preserve">se construyó un inmueble de un </w:t>
      </w:r>
      <w:r>
        <w:rPr>
          <w:rFonts w:ascii="Arial" w:hAnsi="Arial" w:cs="Arial"/>
          <w:color w:val="000000"/>
          <w:sz w:val="24"/>
          <w:szCs w:val="24"/>
        </w:rPr>
        <w:t>nivel</w:t>
      </w:r>
      <w:r w:rsidRPr="00FF3D0D">
        <w:rPr>
          <w:rFonts w:ascii="Arial" w:hAnsi="Arial" w:cs="Arial"/>
          <w:color w:val="000000"/>
          <w:sz w:val="24"/>
          <w:szCs w:val="24"/>
        </w:rPr>
        <w:t> denominado “Cuarto de Inversores”, equipado con refrigeraciones tipo mini split,</w:t>
      </w:r>
      <w:r>
        <w:rPr>
          <w:rFonts w:ascii="Arial" w:hAnsi="Arial" w:cs="Arial"/>
          <w:color w:val="000000"/>
          <w:sz w:val="24"/>
          <w:szCs w:val="24"/>
        </w:rPr>
        <w:t xml:space="preserve"> que cuenta con áreas para </w:t>
      </w:r>
      <w:r w:rsidRPr="00FF3D0D">
        <w:rPr>
          <w:rFonts w:ascii="Arial" w:hAnsi="Arial" w:cs="Arial"/>
          <w:color w:val="000000"/>
          <w:sz w:val="24"/>
          <w:szCs w:val="24"/>
        </w:rPr>
        <w:t>monitoreo, equipo especializado</w:t>
      </w:r>
      <w:r>
        <w:rPr>
          <w:rFonts w:ascii="Arial" w:hAnsi="Arial" w:cs="Arial"/>
          <w:color w:val="000000"/>
          <w:sz w:val="24"/>
          <w:szCs w:val="24"/>
        </w:rPr>
        <w:t xml:space="preserve"> y donde se ubican los inversores,</w:t>
      </w:r>
      <w:r w:rsidRPr="00FF3D0D">
        <w:rPr>
          <w:rFonts w:ascii="Arial" w:hAnsi="Arial" w:cs="Arial"/>
          <w:color w:val="000000"/>
          <w:sz w:val="24"/>
          <w:szCs w:val="24"/>
        </w:rPr>
        <w:t> salón de usos múltiples y un área en el exterior para transformadores y máquinas. Consta de </w:t>
      </w:r>
      <w:r w:rsidRPr="00FF3D0D">
        <w:rPr>
          <w:rFonts w:ascii="Arial" w:hAnsi="Arial" w:cs="Arial"/>
          <w:color w:val="202124"/>
          <w:sz w:val="24"/>
          <w:szCs w:val="24"/>
        </w:rPr>
        <w:t>915 módulos fotovoltaicos que tienen 10 grados de inclinación con orientación al sur.</w:t>
      </w:r>
    </w:p>
    <w:p w14:paraId="20C4C288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000000"/>
          <w:sz w:val="16"/>
          <w:szCs w:val="16"/>
        </w:rPr>
        <w:t> </w:t>
      </w:r>
    </w:p>
    <w:p w14:paraId="3767975A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202124"/>
          <w:sz w:val="24"/>
          <w:szCs w:val="24"/>
        </w:rPr>
        <w:t>El sistema fotovoltaico de la UABC será capaz de generar desde 1618 kilowatts diarios en invierno y hasta 3188 kilowatts diarios en verano. Esta instalación permitirá ahorrar hasta 904,513 kilowatts anuales en el consumo eléctrico, lo que se traduce en más de 1,400, 000 mil pesos anuales en la facturación eléctrica.</w:t>
      </w:r>
    </w:p>
    <w:p w14:paraId="1C261729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000000"/>
          <w:sz w:val="16"/>
          <w:szCs w:val="16"/>
        </w:rPr>
        <w:t> </w:t>
      </w:r>
    </w:p>
    <w:p w14:paraId="7C5353F6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000000"/>
          <w:spacing w:val="-4"/>
          <w:sz w:val="24"/>
          <w:szCs w:val="24"/>
        </w:rPr>
        <w:t>El rector de la UABC, doctor Daniel Octavio Valdez Delgadillo encabezó la ceremonia inaugural, donde señaló que esta inversión se focaliza en temas de aprovechamiento de energía natural renovable y de aportación técnica y académica para el alumnado de la FIM. De igual manera, apuntó que este proyecto se suma a otros que la Universidad ha venido desarrollando en materia de gestión ambiental.</w:t>
      </w:r>
    </w:p>
    <w:p w14:paraId="23C8FCEE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000000"/>
          <w:sz w:val="16"/>
          <w:szCs w:val="16"/>
        </w:rPr>
        <w:t> </w:t>
      </w:r>
    </w:p>
    <w:p w14:paraId="709BF3F9" w14:textId="1C2CA389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000000"/>
          <w:spacing w:val="-4"/>
          <w:sz w:val="24"/>
          <w:szCs w:val="24"/>
        </w:rPr>
        <w:t>“De esta manera la inversión representa un abanico de beneficios a la vida universitaria, pues a la vez que incentiva la utilización de energías renovables, acerca a la comunidad estudiantil a un escenario real donde puedan realizar sus prácticas”, expresó el rector. Añadió que el ahorro que se generará podrá invertirse en otras áreas como la investigación, apoyo a la docencia y becas. Finalmente, destacó que esta obra se suma a otras 15 que son producto de la construcción, remodelación o rehabilitación de espacios universitarios que se han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realizado </w:t>
      </w:r>
      <w:r w:rsidRPr="00FF3D0D">
        <w:rPr>
          <w:rFonts w:ascii="Arial" w:hAnsi="Arial" w:cs="Arial"/>
          <w:color w:val="000000"/>
          <w:spacing w:val="-4"/>
          <w:sz w:val="24"/>
          <w:szCs w:val="24"/>
        </w:rPr>
        <w:t>en esta etapa de su administración.</w:t>
      </w:r>
    </w:p>
    <w:p w14:paraId="29EB9C88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000000"/>
          <w:sz w:val="16"/>
          <w:szCs w:val="16"/>
        </w:rPr>
        <w:t> </w:t>
      </w:r>
    </w:p>
    <w:p w14:paraId="4EE0D7A9" w14:textId="213D93C5" w:rsidR="00FF3D0D" w:rsidRDefault="00FF3D0D" w:rsidP="00FF3D0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FF3D0D">
        <w:rPr>
          <w:rFonts w:ascii="Arial" w:hAnsi="Arial" w:cs="Arial"/>
          <w:color w:val="000000"/>
          <w:sz w:val="24"/>
          <w:szCs w:val="24"/>
        </w:rPr>
        <w:t>En el mismo sentido, la directora de la FIM, doctora Araceli Celina Justo López, agregó que este es un proyecto integral, ya que además de ofrecer un estacionamiento sombreado, representa una contribución al cumplimiento de los objetivos propuestos para los países miembros de la ONU en su agenda 2030, relacionada con la energía asequible y no contaminante, así como con la producción y consumo responsable, mientras que para la UABC representa un ahorro energético en todos los edificios de la Unidad Universitaria Mexicali I.</w:t>
      </w:r>
    </w:p>
    <w:p w14:paraId="525AB4DF" w14:textId="7CD9B3B6" w:rsidR="00F21BD4" w:rsidRDefault="00F21BD4" w:rsidP="00FF3D0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46D0521D" w14:textId="40EB0C42" w:rsidR="00F21BD4" w:rsidRDefault="00F21BD4" w:rsidP="00FF3D0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14422522" w14:textId="77777777" w:rsidR="00F21BD4" w:rsidRPr="00FF3D0D" w:rsidRDefault="00F21BD4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</w:p>
    <w:p w14:paraId="22BE4876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202124"/>
          <w:sz w:val="16"/>
          <w:szCs w:val="16"/>
        </w:rPr>
        <w:lastRenderedPageBreak/>
        <w:t> </w:t>
      </w:r>
    </w:p>
    <w:p w14:paraId="78EE9714" w14:textId="208AD9E2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202124"/>
          <w:sz w:val="24"/>
          <w:szCs w:val="24"/>
        </w:rPr>
        <w:t>La energía generada mediante el sistema fotovoltaico</w:t>
      </w:r>
      <w:r>
        <w:rPr>
          <w:rFonts w:ascii="Arial" w:hAnsi="Arial" w:cs="Arial"/>
          <w:color w:val="202124"/>
          <w:sz w:val="24"/>
          <w:szCs w:val="24"/>
        </w:rPr>
        <w:t xml:space="preserve"> e</w:t>
      </w:r>
      <w:r w:rsidRPr="00FF3D0D">
        <w:rPr>
          <w:rFonts w:ascii="Arial" w:hAnsi="Arial" w:cs="Arial"/>
          <w:color w:val="202124"/>
          <w:sz w:val="24"/>
          <w:szCs w:val="24"/>
        </w:rPr>
        <w:t>vitará la emisión de gases de efecto invernadero por las centrales eléctricas. “Si vemos los impactos ambientales estamos hablando de 383 toneladas de dióxido de carbono que se evitarán, lo que es igual a plantar y mantener 19,130 árboles”, subrayó la directora.</w:t>
      </w:r>
    </w:p>
    <w:p w14:paraId="7426CDA7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202124"/>
          <w:sz w:val="24"/>
          <w:szCs w:val="24"/>
        </w:rPr>
        <w:t> </w:t>
      </w:r>
    </w:p>
    <w:p w14:paraId="0FAC7562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202124"/>
          <w:sz w:val="24"/>
          <w:szCs w:val="24"/>
        </w:rPr>
        <w:t>En la ceremonia también presidieron el doctor Gabriel Estrella Valenzuela, presidente de la Junta de Gobierno; contadora Gabriela Rosas Bazúa, tesorera de la UABC y la doctora Gisela Montero Alpírez, vicerrectora de la UABC, Campus Mexicali. Asistieron a la inauguración alumnos y maestros de las carreras de Ingeniería Eléctrica e Ingeniería de Energías Renovables de la FIM.</w:t>
      </w:r>
    </w:p>
    <w:p w14:paraId="661FF1DD" w14:textId="77777777" w:rsidR="00FF3D0D" w:rsidRPr="00FF3D0D" w:rsidRDefault="00FF3D0D" w:rsidP="00FF3D0D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FF3D0D">
        <w:rPr>
          <w:rFonts w:ascii="Arial" w:hAnsi="Arial" w:cs="Arial"/>
          <w:color w:val="000000"/>
          <w:sz w:val="24"/>
          <w:szCs w:val="24"/>
        </w:rPr>
        <w:t> </w:t>
      </w:r>
    </w:p>
    <w:p w14:paraId="461EAEB9" w14:textId="04D8F180" w:rsidR="004F7BA9" w:rsidRPr="007B32D8" w:rsidRDefault="004F7BA9" w:rsidP="00FF3D0D">
      <w:pPr>
        <w:shd w:val="clear" w:color="auto" w:fill="FFFFFF"/>
        <w:ind w:left="-284" w:right="-143"/>
        <w:jc w:val="center"/>
        <w:rPr>
          <w:rFonts w:ascii="Arial" w:hAnsi="Arial" w:cs="Arial"/>
          <w:color w:val="222222"/>
          <w:spacing w:val="-2"/>
          <w:sz w:val="24"/>
          <w:szCs w:val="24"/>
        </w:rPr>
      </w:pPr>
    </w:p>
    <w:sectPr w:rsidR="004F7BA9" w:rsidRPr="007B32D8" w:rsidSect="005C7675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5A712" w14:textId="77777777" w:rsidR="00402E2C" w:rsidRDefault="00402E2C">
      <w:r>
        <w:separator/>
      </w:r>
    </w:p>
  </w:endnote>
  <w:endnote w:type="continuationSeparator" w:id="0">
    <w:p w14:paraId="27A69E73" w14:textId="77777777" w:rsidR="00402E2C" w:rsidRDefault="0040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0BCE4" w14:textId="77777777" w:rsidR="00402E2C" w:rsidRDefault="00402E2C">
      <w:r>
        <w:rPr>
          <w:color w:val="000000"/>
        </w:rPr>
        <w:separator/>
      </w:r>
    </w:p>
  </w:footnote>
  <w:footnote w:type="continuationSeparator" w:id="0">
    <w:p w14:paraId="64C81A46" w14:textId="77777777" w:rsidR="00402E2C" w:rsidRDefault="00402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D6645"/>
    <w:multiLevelType w:val="hybridMultilevel"/>
    <w:tmpl w:val="6D4A12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F4573E8"/>
    <w:multiLevelType w:val="hybridMultilevel"/>
    <w:tmpl w:val="96386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FD7889"/>
    <w:multiLevelType w:val="hybridMultilevel"/>
    <w:tmpl w:val="CF70A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64321"/>
    <w:multiLevelType w:val="hybridMultilevel"/>
    <w:tmpl w:val="95264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47F9F"/>
    <w:multiLevelType w:val="hybridMultilevel"/>
    <w:tmpl w:val="A96633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69994EBE"/>
    <w:multiLevelType w:val="hybridMultilevel"/>
    <w:tmpl w:val="468A9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5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19"/>
  </w:num>
  <w:num w:numId="4">
    <w:abstractNumId w:val="4"/>
  </w:num>
  <w:num w:numId="5">
    <w:abstractNumId w:val="33"/>
  </w:num>
  <w:num w:numId="6">
    <w:abstractNumId w:val="20"/>
  </w:num>
  <w:num w:numId="7">
    <w:abstractNumId w:val="42"/>
  </w:num>
  <w:num w:numId="8">
    <w:abstractNumId w:val="28"/>
  </w:num>
  <w:num w:numId="9">
    <w:abstractNumId w:val="45"/>
  </w:num>
  <w:num w:numId="10">
    <w:abstractNumId w:val="47"/>
  </w:num>
  <w:num w:numId="11">
    <w:abstractNumId w:val="44"/>
  </w:num>
  <w:num w:numId="12">
    <w:abstractNumId w:val="23"/>
  </w:num>
  <w:num w:numId="13">
    <w:abstractNumId w:val="9"/>
  </w:num>
  <w:num w:numId="14">
    <w:abstractNumId w:val="21"/>
  </w:num>
  <w:num w:numId="15">
    <w:abstractNumId w:val="27"/>
  </w:num>
  <w:num w:numId="16">
    <w:abstractNumId w:val="19"/>
  </w:num>
  <w:num w:numId="17">
    <w:abstractNumId w:val="8"/>
  </w:num>
  <w:num w:numId="18">
    <w:abstractNumId w:val="43"/>
  </w:num>
  <w:num w:numId="19">
    <w:abstractNumId w:val="38"/>
  </w:num>
  <w:num w:numId="20">
    <w:abstractNumId w:val="40"/>
  </w:num>
  <w:num w:numId="21">
    <w:abstractNumId w:val="41"/>
  </w:num>
  <w:num w:numId="22">
    <w:abstractNumId w:val="22"/>
  </w:num>
  <w:num w:numId="23">
    <w:abstractNumId w:val="13"/>
  </w:num>
  <w:num w:numId="24">
    <w:abstractNumId w:val="36"/>
  </w:num>
  <w:num w:numId="25">
    <w:abstractNumId w:val="18"/>
  </w:num>
  <w:num w:numId="26">
    <w:abstractNumId w:val="0"/>
  </w:num>
  <w:num w:numId="27">
    <w:abstractNumId w:val="14"/>
  </w:num>
  <w:num w:numId="28">
    <w:abstractNumId w:val="46"/>
  </w:num>
  <w:num w:numId="29">
    <w:abstractNumId w:val="5"/>
  </w:num>
  <w:num w:numId="30">
    <w:abstractNumId w:val="2"/>
  </w:num>
  <w:num w:numId="31">
    <w:abstractNumId w:val="7"/>
  </w:num>
  <w:num w:numId="32">
    <w:abstractNumId w:val="25"/>
  </w:num>
  <w:num w:numId="33">
    <w:abstractNumId w:val="11"/>
  </w:num>
  <w:num w:numId="34">
    <w:abstractNumId w:val="30"/>
  </w:num>
  <w:num w:numId="35">
    <w:abstractNumId w:val="1"/>
  </w:num>
  <w:num w:numId="36">
    <w:abstractNumId w:val="26"/>
  </w:num>
  <w:num w:numId="37">
    <w:abstractNumId w:val="10"/>
  </w:num>
  <w:num w:numId="38">
    <w:abstractNumId w:val="12"/>
  </w:num>
  <w:num w:numId="39">
    <w:abstractNumId w:val="29"/>
  </w:num>
  <w:num w:numId="40">
    <w:abstractNumId w:val="37"/>
  </w:num>
  <w:num w:numId="41">
    <w:abstractNumId w:val="39"/>
  </w:num>
  <w:num w:numId="42">
    <w:abstractNumId w:val="31"/>
  </w:num>
  <w:num w:numId="43">
    <w:abstractNumId w:val="16"/>
  </w:num>
  <w:num w:numId="44">
    <w:abstractNumId w:val="35"/>
  </w:num>
  <w:num w:numId="45">
    <w:abstractNumId w:val="6"/>
  </w:num>
  <w:num w:numId="46">
    <w:abstractNumId w:val="17"/>
  </w:num>
  <w:num w:numId="47">
    <w:abstractNumId w:val="32"/>
  </w:num>
  <w:num w:numId="48">
    <w:abstractNumId w:val="3"/>
  </w:num>
  <w:num w:numId="49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4C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4ECD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1CBE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3FC1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2EFF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97D68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2FFB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80C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D33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4AE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8A2"/>
    <w:rsid w:val="001D7ABB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374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5BA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D16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5F6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9DE"/>
    <w:rsid w:val="00216B03"/>
    <w:rsid w:val="002172C6"/>
    <w:rsid w:val="002176D0"/>
    <w:rsid w:val="00217A71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00E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87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DFE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219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2A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F9E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1EC6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D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44E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2D6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61C"/>
    <w:rsid w:val="00350CFE"/>
    <w:rsid w:val="003510A9"/>
    <w:rsid w:val="00351165"/>
    <w:rsid w:val="00351517"/>
    <w:rsid w:val="0035182B"/>
    <w:rsid w:val="0035259A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4D8E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490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03B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E7F2B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2E2C"/>
    <w:rsid w:val="004030B2"/>
    <w:rsid w:val="004030D0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408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1C6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54E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2E8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1D7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B08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A9"/>
    <w:rsid w:val="004F7BCF"/>
    <w:rsid w:val="00500089"/>
    <w:rsid w:val="005001E2"/>
    <w:rsid w:val="00500222"/>
    <w:rsid w:val="00500D36"/>
    <w:rsid w:val="0050121F"/>
    <w:rsid w:val="00501AED"/>
    <w:rsid w:val="0050272B"/>
    <w:rsid w:val="005028FF"/>
    <w:rsid w:val="00502B07"/>
    <w:rsid w:val="00502E6A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9C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2F7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AA9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35"/>
    <w:rsid w:val="005C5AEA"/>
    <w:rsid w:val="005C5C2A"/>
    <w:rsid w:val="005C5E78"/>
    <w:rsid w:val="005C5F9E"/>
    <w:rsid w:val="005C651F"/>
    <w:rsid w:val="005C6B72"/>
    <w:rsid w:val="005C7453"/>
    <w:rsid w:val="005C7675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751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2D8E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67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218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517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3E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4FA9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7DB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78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6A9"/>
    <w:rsid w:val="00701766"/>
    <w:rsid w:val="007017D4"/>
    <w:rsid w:val="00701866"/>
    <w:rsid w:val="00701AAB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426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1E9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2D8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6B9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F44"/>
    <w:rsid w:val="007E10E5"/>
    <w:rsid w:val="007E1402"/>
    <w:rsid w:val="007E1659"/>
    <w:rsid w:val="007E18B0"/>
    <w:rsid w:val="007E191C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2C"/>
    <w:rsid w:val="007E7064"/>
    <w:rsid w:val="007E7499"/>
    <w:rsid w:val="007E7901"/>
    <w:rsid w:val="007E790C"/>
    <w:rsid w:val="007E79F2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604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214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6FC"/>
    <w:rsid w:val="00830A32"/>
    <w:rsid w:val="00830CD2"/>
    <w:rsid w:val="00830E11"/>
    <w:rsid w:val="008311D0"/>
    <w:rsid w:val="00831214"/>
    <w:rsid w:val="00831457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EF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7D0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ACA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BE4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60A6"/>
    <w:rsid w:val="008A7032"/>
    <w:rsid w:val="008A7142"/>
    <w:rsid w:val="008A7345"/>
    <w:rsid w:val="008A7351"/>
    <w:rsid w:val="008A76C1"/>
    <w:rsid w:val="008A79AB"/>
    <w:rsid w:val="008A7D55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AB0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152"/>
    <w:rsid w:val="008F69A8"/>
    <w:rsid w:val="008F69B7"/>
    <w:rsid w:val="008F6ED0"/>
    <w:rsid w:val="008F7022"/>
    <w:rsid w:val="008F765E"/>
    <w:rsid w:val="008F7D88"/>
    <w:rsid w:val="008F7E0F"/>
    <w:rsid w:val="008F7FCB"/>
    <w:rsid w:val="008F7FD4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50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0C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E39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68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53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66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0F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14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39F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6700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24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981"/>
    <w:rsid w:val="00A75EAF"/>
    <w:rsid w:val="00A764C7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7AD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5F0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58E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5F13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D4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BB6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B3D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40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E08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9C8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15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09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38C7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9BF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BE9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6C8"/>
    <w:rsid w:val="00E207DD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333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5CC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1BD4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3FE2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A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5A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10B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5668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75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4B1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3D0D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8CAA8EF-5049-4478-AD91-4065291E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paragraph" w:customStyle="1" w:styleId="text-center">
    <w:name w:val="text-center"/>
    <w:basedOn w:val="Normal"/>
    <w:rsid w:val="00E775C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4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39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10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083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32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16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91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62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642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178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081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219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379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309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557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709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5545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3619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071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62961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4263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89830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66056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207155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49634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525725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536741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709784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779038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667910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6814344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9906045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6783303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408709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709088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8090095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5212673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235531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467492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1961375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40661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2530980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7180189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4499597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204775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5107379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3864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6328100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6411555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4578763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7514671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1585792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7043140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435536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76365055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0312117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2856037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99311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46108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66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8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00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054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601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293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90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1538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123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697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009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766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32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674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26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00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5079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757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36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442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288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29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381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47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105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76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9504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13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83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376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2777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236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1856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874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120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597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1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4828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05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945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715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1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090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02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964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371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244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03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968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6859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574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688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769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952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5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454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21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200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648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954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0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849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156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153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019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210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038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87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079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682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4868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90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327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80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996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079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824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203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039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9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12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55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40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677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561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04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224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461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59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431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260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1934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709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3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43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851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83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408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63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5636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104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1693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03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420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305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256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8013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9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030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58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72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231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1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249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468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700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300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840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31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59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39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6584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960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3279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466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6185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6615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734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37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795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07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828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73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53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862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42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326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034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3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2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302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0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351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963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121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0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146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406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178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000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624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2000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26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278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10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426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2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745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357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391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734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4216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4568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21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61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7050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71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962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542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263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075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786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148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11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571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520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471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768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4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689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561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1419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902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678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959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408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5043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260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0352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563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489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955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584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162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65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25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920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35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177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339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372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9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607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816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017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796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167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6801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4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809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353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95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263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925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920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538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71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20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567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63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9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447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416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174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7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985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2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357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064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89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747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616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401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206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176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5942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150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606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87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6551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811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942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857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805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5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664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832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9128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772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481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93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2806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410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8389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8137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1922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899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954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7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9242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532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40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4634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84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5632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359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282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52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615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9121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886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3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42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8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197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973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1365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96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556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849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824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522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9591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403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8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4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31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14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41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53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975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870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225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7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649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2717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5638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9206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8239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0092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941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61435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948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760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48580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7258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6508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16343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54182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242975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99186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179035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2135520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172692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884062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082856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726682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5841970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2555877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1700772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1590076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905029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921708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3615343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9693952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3907316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42510762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522893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2675906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2172719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9119277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5254365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7484207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2410210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5822939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79150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419561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03083406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9867396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16257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166535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076923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323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70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09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764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9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519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926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7024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16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988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086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551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23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6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562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51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9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010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66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0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5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661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9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428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7307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3877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45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506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42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229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331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256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81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295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22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2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48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0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059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6010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8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78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16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83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1263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056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59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42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0378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660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32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9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333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252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5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443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839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646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186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612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22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07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4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6694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22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601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513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936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875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644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663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5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27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026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558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4146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806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26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0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0377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537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12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756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458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63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528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45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44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243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335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384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87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65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614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673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218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41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545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533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0798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121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16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25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4152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606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584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66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6637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34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675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069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54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075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509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0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855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9475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040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231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157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190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449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955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2171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1418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664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061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25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22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230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78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585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5068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76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565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00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37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889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8286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687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25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21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361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5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3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636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347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9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3190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2052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4132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1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60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80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764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380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24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53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531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831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6937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94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9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93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554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957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434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735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084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244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6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025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4159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735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447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81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184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46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821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193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19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269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739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740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404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50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496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597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321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914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122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840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104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074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90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99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62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9497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488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2653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4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731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74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992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168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8743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744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523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879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165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016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9437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750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960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12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6668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343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94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127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768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06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316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34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584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72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06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9899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753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541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221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73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111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40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760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077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0151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22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367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7500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88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0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278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294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1416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178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78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597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515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505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378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635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4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797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80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130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0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649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0298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75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912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9684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48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028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7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033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788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8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6970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35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78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452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397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641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8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799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292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1024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59941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819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10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0848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038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701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A5EFD-B299-42D1-9D36-6A07A711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656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15</cp:revision>
  <cp:lastPrinted>2022-10-18T20:05:00Z</cp:lastPrinted>
  <dcterms:created xsi:type="dcterms:W3CDTF">2022-11-23T01:57:00Z</dcterms:created>
  <dcterms:modified xsi:type="dcterms:W3CDTF">2022-11-24T01:19:00Z</dcterms:modified>
</cp:coreProperties>
</file>