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483A7716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5B6A73">
        <w:rPr>
          <w:rFonts w:ascii="Arial" w:hAnsi="Arial" w:cs="Arial"/>
          <w:b/>
          <w:sz w:val="24"/>
          <w:szCs w:val="24"/>
        </w:rPr>
        <w:t>0</w:t>
      </w:r>
      <w:r w:rsidR="00FB6C81">
        <w:rPr>
          <w:rFonts w:ascii="Arial" w:hAnsi="Arial" w:cs="Arial"/>
          <w:b/>
          <w:sz w:val="24"/>
          <w:szCs w:val="24"/>
        </w:rPr>
        <w:t>7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DF588C1" w14:textId="77777777" w:rsidR="00FB6C81" w:rsidRPr="00FB6C81" w:rsidRDefault="00FB6C81" w:rsidP="005B6A7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77FBB4BD" w14:textId="4624D469" w:rsidR="005B6A73" w:rsidRPr="00B93138" w:rsidRDefault="00FB6C81" w:rsidP="005B6A7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2"/>
          <w:szCs w:val="12"/>
        </w:rPr>
      </w:pPr>
      <w:r w:rsidRPr="00B93138">
        <w:rPr>
          <w:rFonts w:ascii="Arial" w:hAnsi="Arial" w:cs="Arial"/>
          <w:b/>
          <w:bCs/>
          <w:sz w:val="36"/>
          <w:szCs w:val="36"/>
        </w:rPr>
        <w:t>Inauguran obras en el Campus Tijuana</w:t>
      </w:r>
    </w:p>
    <w:p w14:paraId="1E3D458F" w14:textId="77777777" w:rsidR="005B6A73" w:rsidRPr="00B93138" w:rsidRDefault="005B6A73" w:rsidP="005B6A7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sz w:val="16"/>
          <w:szCs w:val="16"/>
        </w:rPr>
      </w:pPr>
    </w:p>
    <w:p w14:paraId="0E519F43" w14:textId="3A9F2266" w:rsidR="005B6A73" w:rsidRPr="00B93138" w:rsidRDefault="003B0311" w:rsidP="00DC14FC">
      <w:pPr>
        <w:pStyle w:val="Prrafodelista"/>
        <w:numPr>
          <w:ilvl w:val="0"/>
          <w:numId w:val="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Cs w:val="24"/>
        </w:rPr>
      </w:pPr>
      <w:r w:rsidRPr="00B93138">
        <w:rPr>
          <w:rFonts w:ascii="Arial" w:hAnsi="Arial" w:cs="Arial"/>
          <w:sz w:val="24"/>
          <w:szCs w:val="24"/>
        </w:rPr>
        <w:t>P</w:t>
      </w:r>
      <w:r w:rsidRPr="00321370">
        <w:rPr>
          <w:rFonts w:ascii="Arial" w:hAnsi="Arial" w:cs="Arial"/>
          <w:sz w:val="24"/>
          <w:szCs w:val="24"/>
        </w:rPr>
        <w:t>ara atender las necesidades que requieren las actividades académicas, administrativas y de investigación</w:t>
      </w:r>
      <w:r w:rsidR="005B6A73" w:rsidRPr="00B93138">
        <w:rPr>
          <w:rFonts w:ascii="Arial" w:hAnsi="Arial" w:cs="Arial"/>
          <w:sz w:val="24"/>
          <w:szCs w:val="27"/>
        </w:rPr>
        <w:t>. </w:t>
      </w:r>
    </w:p>
    <w:p w14:paraId="6DC05EC6" w14:textId="77777777" w:rsidR="005B6A73" w:rsidRPr="00B93138" w:rsidRDefault="005B6A73" w:rsidP="005B6A73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C554206" w14:textId="37615538" w:rsidR="005B6A73" w:rsidRPr="00B93138" w:rsidRDefault="00046835" w:rsidP="000468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7"/>
        </w:rPr>
      </w:pPr>
      <w:r w:rsidRPr="00B93138">
        <w:rPr>
          <w:rFonts w:ascii="Arial" w:hAnsi="Arial" w:cs="Arial"/>
          <w:b/>
          <w:bCs/>
          <w:sz w:val="24"/>
          <w:szCs w:val="27"/>
        </w:rPr>
        <w:t>Tijuana</w:t>
      </w:r>
      <w:r w:rsidR="005B6A73" w:rsidRPr="00B93138">
        <w:rPr>
          <w:rFonts w:ascii="Arial" w:hAnsi="Arial" w:cs="Arial"/>
          <w:b/>
          <w:bCs/>
          <w:sz w:val="24"/>
          <w:szCs w:val="27"/>
        </w:rPr>
        <w:t xml:space="preserve">, Baja California, </w:t>
      </w:r>
      <w:r w:rsidR="00321370" w:rsidRPr="00B93138">
        <w:rPr>
          <w:rFonts w:ascii="Arial" w:hAnsi="Arial" w:cs="Arial"/>
          <w:b/>
          <w:bCs/>
          <w:sz w:val="24"/>
          <w:szCs w:val="27"/>
        </w:rPr>
        <w:t>martes 24</w:t>
      </w:r>
      <w:r w:rsidR="005B6A73" w:rsidRPr="00B93138">
        <w:rPr>
          <w:rFonts w:ascii="Arial" w:hAnsi="Arial" w:cs="Arial"/>
          <w:b/>
          <w:bCs/>
          <w:sz w:val="24"/>
          <w:szCs w:val="27"/>
        </w:rPr>
        <w:t xml:space="preserve"> de enero de 2023.-</w:t>
      </w:r>
      <w:r w:rsidR="005B6A73" w:rsidRPr="00B93138">
        <w:rPr>
          <w:rFonts w:ascii="Arial" w:hAnsi="Arial" w:cs="Arial"/>
          <w:sz w:val="24"/>
          <w:szCs w:val="27"/>
        </w:rPr>
        <w:t> </w:t>
      </w:r>
      <w:r w:rsidR="00FC3E87" w:rsidRPr="00B93138">
        <w:rPr>
          <w:rFonts w:ascii="Arial" w:hAnsi="Arial" w:cs="Arial"/>
          <w:sz w:val="24"/>
          <w:szCs w:val="27"/>
        </w:rPr>
        <w:t>Con la finalidad de contar con espacios que resulten óptimos para la impartición de conocimiento a los futuros profesionistas, se llevó a cabo la inauguración de edificaciones dependientes de diversas unidades académicas de la Universidad Autónoma de Baja California (UABC), Campus Tijuana.</w:t>
      </w:r>
    </w:p>
    <w:p w14:paraId="2C0F1512" w14:textId="59A81134" w:rsidR="000A719B" w:rsidRPr="00B93138" w:rsidRDefault="000A719B" w:rsidP="000468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FA8E48A" w14:textId="14F56600" w:rsidR="000A719B" w:rsidRPr="00B93138" w:rsidRDefault="000A719B" w:rsidP="000468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7"/>
        </w:rPr>
      </w:pPr>
      <w:r w:rsidRPr="00B93138">
        <w:rPr>
          <w:rFonts w:ascii="Arial" w:hAnsi="Arial" w:cs="Arial"/>
          <w:sz w:val="24"/>
          <w:szCs w:val="27"/>
        </w:rPr>
        <w:t>Las unidades académicas beneficiadas con infraestructura en esta ocasión fueron la Facultad de Ciencias Químicas e Ingeniería (FCQI); Facultad de Medicina y Psicología (FMyP), Facultad de Odontología Tijuana (FOT)</w:t>
      </w:r>
      <w:r w:rsidR="00246E76" w:rsidRPr="00B93138">
        <w:rPr>
          <w:rFonts w:ascii="Arial" w:hAnsi="Arial" w:cs="Arial"/>
          <w:sz w:val="24"/>
          <w:szCs w:val="27"/>
        </w:rPr>
        <w:t>; Facultad de Turismo y Mercadotecnia (FTyM); Facultad de Derecho Tijuana (FDT) y el Centro de Estudios Rosario (CER).</w:t>
      </w:r>
    </w:p>
    <w:p w14:paraId="2556C84C" w14:textId="0D4ECB3A" w:rsidR="00246E76" w:rsidRPr="00B93138" w:rsidRDefault="00246E76" w:rsidP="0004683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70A9552" w14:textId="442DDE2F" w:rsidR="00246E76" w:rsidRPr="00B93138" w:rsidRDefault="00246E76" w:rsidP="00246E76">
      <w:pPr>
        <w:autoSpaceDN/>
        <w:jc w:val="both"/>
        <w:rPr>
          <w:rFonts w:ascii="Arial" w:hAnsi="Arial" w:cs="Arial"/>
          <w:sz w:val="24"/>
          <w:szCs w:val="27"/>
        </w:rPr>
      </w:pPr>
      <w:r w:rsidRPr="00B93138">
        <w:rPr>
          <w:rFonts w:ascii="Arial" w:hAnsi="Arial" w:cs="Arial"/>
          <w:sz w:val="24"/>
          <w:szCs w:val="27"/>
        </w:rPr>
        <w:t xml:space="preserve">Las inauguraciones fueron encabezadas por el rector de la UABC, doctor Daniel Octavio Valdez Delgadillo. </w:t>
      </w:r>
      <w:r w:rsidRPr="00321370">
        <w:rPr>
          <w:rFonts w:ascii="Arial" w:hAnsi="Arial" w:cs="Arial"/>
          <w:sz w:val="24"/>
          <w:szCs w:val="24"/>
        </w:rPr>
        <w:t>"En la que muy probable sea mi última visita al Campus Tijuana</w:t>
      </w:r>
      <w:r w:rsidRPr="00B93138">
        <w:rPr>
          <w:rFonts w:ascii="Arial" w:hAnsi="Arial" w:cs="Arial"/>
          <w:sz w:val="24"/>
          <w:szCs w:val="24"/>
        </w:rPr>
        <w:t xml:space="preserve"> </w:t>
      </w:r>
      <w:r w:rsidRPr="00321370">
        <w:rPr>
          <w:rFonts w:ascii="Arial" w:hAnsi="Arial" w:cs="Arial"/>
          <w:sz w:val="24"/>
          <w:szCs w:val="24"/>
        </w:rPr>
        <w:t>como rector, no podría encontrar un motivo más significativo para hacerlo, pues esta ceremonia representa el esfuerzo colectivo de los cimarrones en los momentos más adversos</w:t>
      </w:r>
      <w:r w:rsidRPr="00B93138">
        <w:rPr>
          <w:rFonts w:ascii="Arial" w:hAnsi="Arial" w:cs="Arial"/>
          <w:sz w:val="24"/>
          <w:szCs w:val="24"/>
        </w:rPr>
        <w:t>”, mencionó</w:t>
      </w:r>
      <w:r w:rsidRPr="00321370">
        <w:rPr>
          <w:rFonts w:ascii="Arial" w:hAnsi="Arial" w:cs="Arial"/>
          <w:sz w:val="24"/>
          <w:szCs w:val="24"/>
        </w:rPr>
        <w:t>.</w:t>
      </w:r>
    </w:p>
    <w:p w14:paraId="4FFF6F36" w14:textId="77777777" w:rsidR="00246E76" w:rsidRPr="00B93138" w:rsidRDefault="00246E76" w:rsidP="00246E76">
      <w:pPr>
        <w:autoSpaceDN/>
        <w:jc w:val="both"/>
        <w:rPr>
          <w:rFonts w:ascii="Arial" w:hAnsi="Arial" w:cs="Arial"/>
          <w:sz w:val="16"/>
          <w:szCs w:val="16"/>
        </w:rPr>
      </w:pPr>
    </w:p>
    <w:p w14:paraId="25D3122C" w14:textId="36E0CB94" w:rsidR="00246E76" w:rsidRPr="00321370" w:rsidRDefault="00703F7D" w:rsidP="00246E76">
      <w:pPr>
        <w:autoSpaceDN/>
        <w:jc w:val="both"/>
        <w:rPr>
          <w:rFonts w:ascii="Arial" w:hAnsi="Arial" w:cs="Arial"/>
          <w:sz w:val="24"/>
          <w:szCs w:val="24"/>
        </w:rPr>
      </w:pPr>
      <w:r w:rsidRPr="00B93138">
        <w:rPr>
          <w:rFonts w:ascii="Arial" w:hAnsi="Arial" w:cs="Arial"/>
          <w:sz w:val="24"/>
          <w:szCs w:val="24"/>
        </w:rPr>
        <w:t xml:space="preserve">Agregó que la UABC </w:t>
      </w:r>
      <w:r w:rsidR="00246E76" w:rsidRPr="00321370">
        <w:rPr>
          <w:rFonts w:ascii="Arial" w:hAnsi="Arial" w:cs="Arial"/>
          <w:sz w:val="24"/>
          <w:szCs w:val="24"/>
        </w:rPr>
        <w:t>maneja s</w:t>
      </w:r>
      <w:r w:rsidRPr="00B93138">
        <w:rPr>
          <w:rFonts w:ascii="Arial" w:hAnsi="Arial" w:cs="Arial"/>
          <w:sz w:val="24"/>
          <w:szCs w:val="24"/>
        </w:rPr>
        <w:t>us recursos con responsabilidad y</w:t>
      </w:r>
      <w:r w:rsidR="00246E76" w:rsidRPr="00321370">
        <w:rPr>
          <w:rFonts w:ascii="Arial" w:hAnsi="Arial" w:cs="Arial"/>
          <w:sz w:val="24"/>
          <w:szCs w:val="24"/>
        </w:rPr>
        <w:t xml:space="preserve"> transparenta sus procesos. "Prueba de ello es que hemos sido reconocidos por tercer año consecutivo por el Instituto de Transparencia, Acceso a la Información Pública y Protección de Datos Personales del Estado (ITAIPBC), por cumplir con el 100 % de las obligaciones en este rubro, sin dejar de lado que somos permanentemente auditados por la Auditoría Superior de la Federación y del Estado, así como por auditores internos y externos</w:t>
      </w:r>
      <w:r w:rsidRPr="00B93138">
        <w:rPr>
          <w:rFonts w:ascii="Arial" w:hAnsi="Arial" w:cs="Arial"/>
          <w:sz w:val="24"/>
          <w:szCs w:val="24"/>
        </w:rPr>
        <w:t>”</w:t>
      </w:r>
      <w:r w:rsidR="00246E76" w:rsidRPr="00321370">
        <w:rPr>
          <w:rFonts w:ascii="Arial" w:hAnsi="Arial" w:cs="Arial"/>
          <w:sz w:val="24"/>
          <w:szCs w:val="24"/>
        </w:rPr>
        <w:t>.</w:t>
      </w:r>
    </w:p>
    <w:p w14:paraId="2D6CE0B3" w14:textId="77777777" w:rsidR="00246E76" w:rsidRPr="00321370" w:rsidRDefault="00246E76" w:rsidP="00246E76">
      <w:pPr>
        <w:autoSpaceDN/>
        <w:jc w:val="both"/>
        <w:rPr>
          <w:rFonts w:ascii="Arial" w:hAnsi="Arial" w:cs="Arial"/>
          <w:sz w:val="16"/>
          <w:szCs w:val="16"/>
        </w:rPr>
      </w:pPr>
    </w:p>
    <w:p w14:paraId="44F50E24" w14:textId="26B5061E" w:rsidR="00246E76" w:rsidRPr="00B93138" w:rsidRDefault="00703F7D" w:rsidP="00246E76">
      <w:pPr>
        <w:autoSpaceDN/>
        <w:jc w:val="both"/>
        <w:rPr>
          <w:rFonts w:ascii="Arial" w:hAnsi="Arial" w:cs="Arial"/>
          <w:sz w:val="24"/>
          <w:szCs w:val="24"/>
        </w:rPr>
      </w:pPr>
      <w:r w:rsidRPr="00B93138">
        <w:rPr>
          <w:rFonts w:ascii="Arial" w:hAnsi="Arial" w:cs="Arial"/>
          <w:sz w:val="24"/>
          <w:szCs w:val="24"/>
        </w:rPr>
        <w:t xml:space="preserve">Señaló que una vez saldada la </w:t>
      </w:r>
      <w:r w:rsidR="00246E76" w:rsidRPr="00321370">
        <w:rPr>
          <w:rFonts w:ascii="Arial" w:hAnsi="Arial" w:cs="Arial"/>
          <w:sz w:val="24"/>
          <w:szCs w:val="24"/>
        </w:rPr>
        <w:t>deuda histórica</w:t>
      </w:r>
      <w:r w:rsidRPr="00B93138">
        <w:rPr>
          <w:rFonts w:ascii="Arial" w:hAnsi="Arial" w:cs="Arial"/>
          <w:sz w:val="24"/>
          <w:szCs w:val="24"/>
        </w:rPr>
        <w:t xml:space="preserve"> que tenía el gobierno estatal</w:t>
      </w:r>
      <w:r w:rsidR="00246E76" w:rsidRPr="00321370">
        <w:rPr>
          <w:rFonts w:ascii="Arial" w:hAnsi="Arial" w:cs="Arial"/>
          <w:sz w:val="24"/>
          <w:szCs w:val="24"/>
        </w:rPr>
        <w:t xml:space="preserve">, se pudo iniciar el proceso de reparación, mantenimiento y construcción de la infraestructura </w:t>
      </w:r>
      <w:r w:rsidRPr="00B93138">
        <w:rPr>
          <w:rFonts w:ascii="Arial" w:hAnsi="Arial" w:cs="Arial"/>
          <w:sz w:val="24"/>
          <w:szCs w:val="24"/>
        </w:rPr>
        <w:t>“</w:t>
      </w:r>
      <w:r w:rsidR="00246E76" w:rsidRPr="00321370">
        <w:rPr>
          <w:rFonts w:ascii="Arial" w:hAnsi="Arial" w:cs="Arial"/>
          <w:sz w:val="24"/>
          <w:szCs w:val="24"/>
        </w:rPr>
        <w:t xml:space="preserve">para atender las necesidades que requieren las actividades académicas, administrativas y de investigación, así como subsanar las necesidades de infraestructura que conlleva el crecimiento de la matrícula que esta Universidad con gran esfuerzo </w:t>
      </w:r>
      <w:r w:rsidRPr="00B93138">
        <w:rPr>
          <w:rFonts w:ascii="Arial" w:hAnsi="Arial" w:cs="Arial"/>
          <w:sz w:val="24"/>
          <w:szCs w:val="24"/>
        </w:rPr>
        <w:t>h</w:t>
      </w:r>
      <w:r w:rsidR="00246E76" w:rsidRPr="00321370">
        <w:rPr>
          <w:rFonts w:ascii="Arial" w:hAnsi="Arial" w:cs="Arial"/>
          <w:sz w:val="24"/>
          <w:szCs w:val="24"/>
        </w:rPr>
        <w:t>a realizado en los últimos cuatro años</w:t>
      </w:r>
      <w:r w:rsidRPr="00B93138">
        <w:rPr>
          <w:rFonts w:ascii="Arial" w:hAnsi="Arial" w:cs="Arial"/>
          <w:sz w:val="24"/>
          <w:szCs w:val="24"/>
        </w:rPr>
        <w:t>”, puntualizó</w:t>
      </w:r>
      <w:r w:rsidR="00246E76" w:rsidRPr="00321370">
        <w:rPr>
          <w:rFonts w:ascii="Arial" w:hAnsi="Arial" w:cs="Arial"/>
          <w:sz w:val="24"/>
          <w:szCs w:val="24"/>
        </w:rPr>
        <w:t>.</w:t>
      </w:r>
    </w:p>
    <w:p w14:paraId="04D40C55" w14:textId="77777777" w:rsidR="00703F7D" w:rsidRPr="00B93138" w:rsidRDefault="00703F7D" w:rsidP="00703F7D">
      <w:pPr>
        <w:shd w:val="clear" w:color="auto" w:fill="FFFFFF"/>
        <w:jc w:val="both"/>
        <w:rPr>
          <w:rFonts w:ascii="Arial" w:hAnsi="Arial" w:cs="Arial"/>
          <w:b/>
          <w:sz w:val="16"/>
          <w:szCs w:val="16"/>
        </w:rPr>
      </w:pPr>
    </w:p>
    <w:p w14:paraId="55E9BC3E" w14:textId="78C556CA" w:rsidR="00703F7D" w:rsidRPr="00321370" w:rsidRDefault="00703F7D" w:rsidP="00703F7D">
      <w:pPr>
        <w:autoSpaceDN/>
        <w:jc w:val="both"/>
        <w:rPr>
          <w:rFonts w:ascii="Arial" w:hAnsi="Arial" w:cs="Arial"/>
          <w:sz w:val="24"/>
          <w:szCs w:val="24"/>
        </w:rPr>
      </w:pPr>
      <w:r w:rsidRPr="00B93138">
        <w:rPr>
          <w:rFonts w:ascii="Arial" w:hAnsi="Arial" w:cs="Arial"/>
          <w:sz w:val="24"/>
          <w:szCs w:val="24"/>
        </w:rPr>
        <w:t>En las inauguraciones se contó con la presencia de la doctora</w:t>
      </w:r>
      <w:r w:rsidRPr="00321370">
        <w:rPr>
          <w:rFonts w:ascii="Arial" w:hAnsi="Arial" w:cs="Arial"/>
          <w:sz w:val="24"/>
          <w:szCs w:val="24"/>
        </w:rPr>
        <w:t xml:space="preserve"> Lucrecia Arzamendi Zepeda, integrante de la J</w:t>
      </w:r>
      <w:r w:rsidRPr="00B93138">
        <w:rPr>
          <w:rFonts w:ascii="Arial" w:hAnsi="Arial" w:cs="Arial"/>
          <w:sz w:val="24"/>
          <w:szCs w:val="24"/>
        </w:rPr>
        <w:t xml:space="preserve">unta de </w:t>
      </w:r>
      <w:r w:rsidRPr="00321370">
        <w:rPr>
          <w:rFonts w:ascii="Arial" w:hAnsi="Arial" w:cs="Arial"/>
          <w:sz w:val="24"/>
          <w:szCs w:val="24"/>
        </w:rPr>
        <w:t>G</w:t>
      </w:r>
      <w:r w:rsidRPr="00B93138">
        <w:rPr>
          <w:rFonts w:ascii="Arial" w:hAnsi="Arial" w:cs="Arial"/>
          <w:sz w:val="24"/>
          <w:szCs w:val="24"/>
        </w:rPr>
        <w:t xml:space="preserve">obierno; contadora </w:t>
      </w:r>
      <w:r w:rsidRPr="00321370">
        <w:rPr>
          <w:rFonts w:ascii="Arial" w:hAnsi="Arial" w:cs="Arial"/>
          <w:sz w:val="24"/>
          <w:szCs w:val="24"/>
        </w:rPr>
        <w:t>María Gabriela Rosas Bazúa, tesorera de la UABC</w:t>
      </w:r>
      <w:r w:rsidRPr="00B93138">
        <w:rPr>
          <w:rFonts w:ascii="Arial" w:hAnsi="Arial" w:cs="Arial"/>
          <w:sz w:val="24"/>
          <w:szCs w:val="24"/>
        </w:rPr>
        <w:t>; maestra</w:t>
      </w:r>
      <w:r w:rsidRPr="00321370">
        <w:rPr>
          <w:rFonts w:ascii="Arial" w:hAnsi="Arial" w:cs="Arial"/>
          <w:sz w:val="24"/>
          <w:szCs w:val="24"/>
        </w:rPr>
        <w:t xml:space="preserve"> Edith</w:t>
      </w:r>
      <w:r w:rsidRPr="00B93138">
        <w:rPr>
          <w:rFonts w:ascii="Arial" w:hAnsi="Arial" w:cs="Arial"/>
          <w:sz w:val="24"/>
          <w:szCs w:val="24"/>
        </w:rPr>
        <w:t xml:space="preserve"> Montiel Ayala, vicerrectora de la UABC, </w:t>
      </w:r>
      <w:r w:rsidRPr="00321370">
        <w:rPr>
          <w:rFonts w:ascii="Arial" w:hAnsi="Arial" w:cs="Arial"/>
          <w:sz w:val="24"/>
          <w:szCs w:val="24"/>
        </w:rPr>
        <w:t>Campus Tijuana</w:t>
      </w:r>
      <w:r w:rsidRPr="00B93138">
        <w:rPr>
          <w:rFonts w:ascii="Arial" w:hAnsi="Arial" w:cs="Arial"/>
          <w:sz w:val="24"/>
          <w:szCs w:val="24"/>
        </w:rPr>
        <w:t xml:space="preserve">; maestro </w:t>
      </w:r>
      <w:r w:rsidRPr="00321370">
        <w:rPr>
          <w:rFonts w:ascii="Arial" w:hAnsi="Arial" w:cs="Arial"/>
          <w:sz w:val="24"/>
          <w:szCs w:val="24"/>
        </w:rPr>
        <w:t>Roberto Alejandro Reyes Martínez, director de la FCQI</w:t>
      </w:r>
      <w:r w:rsidRPr="00B93138">
        <w:rPr>
          <w:rFonts w:ascii="Arial" w:hAnsi="Arial" w:cs="Arial"/>
          <w:sz w:val="24"/>
          <w:szCs w:val="24"/>
        </w:rPr>
        <w:t xml:space="preserve">; doctora </w:t>
      </w:r>
      <w:r w:rsidRPr="00321370">
        <w:rPr>
          <w:rFonts w:ascii="Arial" w:hAnsi="Arial" w:cs="Arial"/>
          <w:sz w:val="24"/>
          <w:szCs w:val="24"/>
        </w:rPr>
        <w:t>Julieta Yadira Islas Limón, directora de la FMyP</w:t>
      </w:r>
      <w:r w:rsidRPr="00B93138">
        <w:rPr>
          <w:rFonts w:ascii="Arial" w:hAnsi="Arial" w:cs="Arial"/>
          <w:sz w:val="24"/>
          <w:szCs w:val="24"/>
        </w:rPr>
        <w:t xml:space="preserve">; doctora </w:t>
      </w:r>
      <w:r w:rsidRPr="00321370">
        <w:rPr>
          <w:rFonts w:ascii="Arial" w:hAnsi="Arial" w:cs="Arial"/>
          <w:sz w:val="24"/>
          <w:szCs w:val="24"/>
        </w:rPr>
        <w:t>Haydee Gómez Llanos Juárez, directora de la FOT</w:t>
      </w:r>
      <w:r w:rsidRPr="00B93138">
        <w:rPr>
          <w:rFonts w:ascii="Arial" w:hAnsi="Arial" w:cs="Arial"/>
          <w:sz w:val="24"/>
          <w:szCs w:val="24"/>
        </w:rPr>
        <w:t xml:space="preserve">; doctora </w:t>
      </w:r>
      <w:r w:rsidRPr="00321370">
        <w:rPr>
          <w:rFonts w:ascii="Arial" w:hAnsi="Arial" w:cs="Arial"/>
          <w:sz w:val="24"/>
          <w:szCs w:val="24"/>
        </w:rPr>
        <w:t>Martha Ofelia Lobo Rodríguez</w:t>
      </w:r>
      <w:r w:rsidR="00DC2C10">
        <w:rPr>
          <w:rFonts w:ascii="Arial" w:hAnsi="Arial" w:cs="Arial"/>
          <w:sz w:val="24"/>
          <w:szCs w:val="24"/>
        </w:rPr>
        <w:t>, directora de la FTyM</w:t>
      </w:r>
      <w:r w:rsidRPr="00B93138">
        <w:rPr>
          <w:rFonts w:ascii="Arial" w:hAnsi="Arial" w:cs="Arial"/>
          <w:sz w:val="24"/>
          <w:szCs w:val="24"/>
        </w:rPr>
        <w:t xml:space="preserve">; doctora </w:t>
      </w:r>
      <w:r w:rsidRPr="00321370">
        <w:rPr>
          <w:rFonts w:ascii="Arial" w:hAnsi="Arial" w:cs="Arial"/>
          <w:sz w:val="24"/>
          <w:szCs w:val="24"/>
        </w:rPr>
        <w:t>Laura Alicia Camarillo Govea, directora de la Facultad de Derecho Tijuana</w:t>
      </w:r>
      <w:r w:rsidRPr="00B93138">
        <w:rPr>
          <w:rFonts w:ascii="Arial" w:hAnsi="Arial" w:cs="Arial"/>
          <w:sz w:val="24"/>
          <w:szCs w:val="24"/>
        </w:rPr>
        <w:t xml:space="preserve"> y la maestra </w:t>
      </w:r>
      <w:r w:rsidRPr="00321370">
        <w:rPr>
          <w:rFonts w:ascii="Arial" w:hAnsi="Arial" w:cs="Arial"/>
          <w:sz w:val="24"/>
          <w:szCs w:val="24"/>
        </w:rPr>
        <w:t xml:space="preserve">Mariana Domínguez Graniel, jefa académica del </w:t>
      </w:r>
      <w:r w:rsidR="00B93138">
        <w:rPr>
          <w:rFonts w:ascii="Arial" w:hAnsi="Arial" w:cs="Arial"/>
          <w:sz w:val="24"/>
          <w:szCs w:val="24"/>
        </w:rPr>
        <w:t>CER</w:t>
      </w:r>
      <w:r w:rsidRPr="00B93138">
        <w:rPr>
          <w:rFonts w:ascii="Arial" w:hAnsi="Arial" w:cs="Arial"/>
          <w:sz w:val="24"/>
          <w:szCs w:val="24"/>
        </w:rPr>
        <w:t>.</w:t>
      </w:r>
    </w:p>
    <w:p w14:paraId="09B877AE" w14:textId="77777777" w:rsidR="00703F7D" w:rsidRPr="00321370" w:rsidRDefault="00703F7D" w:rsidP="00246E76">
      <w:pPr>
        <w:autoSpaceDN/>
        <w:jc w:val="both"/>
        <w:rPr>
          <w:rFonts w:ascii="Arial" w:hAnsi="Arial" w:cs="Arial"/>
          <w:sz w:val="16"/>
          <w:szCs w:val="16"/>
        </w:rPr>
      </w:pPr>
    </w:p>
    <w:p w14:paraId="22D72BB7" w14:textId="4DD0C706" w:rsidR="00246E76" w:rsidRPr="00B93138" w:rsidRDefault="00B93138" w:rsidP="00046835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7"/>
        </w:rPr>
      </w:pPr>
      <w:r w:rsidRPr="00B93138">
        <w:rPr>
          <w:rFonts w:ascii="Arial" w:hAnsi="Arial" w:cs="Arial"/>
          <w:b/>
          <w:sz w:val="24"/>
          <w:szCs w:val="27"/>
        </w:rPr>
        <w:t>Obras inauguradas</w:t>
      </w:r>
    </w:p>
    <w:p w14:paraId="40E9B490" w14:textId="7C8BE9DE" w:rsidR="00363C71" w:rsidRPr="004C4119" w:rsidRDefault="00B93138" w:rsidP="00046835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4C4119">
        <w:rPr>
          <w:rFonts w:ascii="Arial" w:hAnsi="Arial" w:cs="Arial"/>
          <w:b/>
          <w:sz w:val="24"/>
          <w:szCs w:val="24"/>
        </w:rPr>
        <w:t>Facultad de Ciencias Químicas e Ingeniería</w:t>
      </w:r>
    </w:p>
    <w:p w14:paraId="20D7E113" w14:textId="14941D0D" w:rsidR="004C4119" w:rsidRDefault="00B93138" w:rsidP="00F6285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Primera etapa de construcción de edificio de laboratorios. Planta baja consta de: dos </w:t>
      </w:r>
      <w:r w:rsidR="00D73641">
        <w:rPr>
          <w:rFonts w:ascii="Arial" w:hAnsi="Arial" w:cs="Arial"/>
          <w:sz w:val="24"/>
          <w:szCs w:val="24"/>
        </w:rPr>
        <w:t>l</w:t>
      </w:r>
      <w:r w:rsidR="00F62859" w:rsidRPr="00B93138">
        <w:rPr>
          <w:rFonts w:ascii="Arial" w:hAnsi="Arial" w:cs="Arial"/>
          <w:sz w:val="24"/>
          <w:szCs w:val="24"/>
        </w:rPr>
        <w:t>aboratorios de Química General</w:t>
      </w:r>
      <w:r>
        <w:rPr>
          <w:rFonts w:ascii="Arial" w:hAnsi="Arial" w:cs="Arial"/>
          <w:sz w:val="24"/>
          <w:szCs w:val="24"/>
        </w:rPr>
        <w:t>; o</w:t>
      </w:r>
      <w:r w:rsidR="00F62859" w:rsidRPr="00B93138">
        <w:rPr>
          <w:rFonts w:ascii="Arial" w:hAnsi="Arial" w:cs="Arial"/>
          <w:sz w:val="24"/>
          <w:szCs w:val="24"/>
        </w:rPr>
        <w:t>ficinas de Dirección</w:t>
      </w:r>
      <w:r>
        <w:rPr>
          <w:rFonts w:ascii="Arial" w:hAnsi="Arial" w:cs="Arial"/>
          <w:sz w:val="24"/>
          <w:szCs w:val="24"/>
        </w:rPr>
        <w:t xml:space="preserve">; almacén de materiales químicos; site de </w:t>
      </w:r>
      <w:r w:rsidR="00F62859" w:rsidRPr="00B93138">
        <w:rPr>
          <w:rFonts w:ascii="Arial" w:hAnsi="Arial" w:cs="Arial"/>
          <w:sz w:val="24"/>
          <w:szCs w:val="24"/>
        </w:rPr>
        <w:t>telecomunicaciones</w:t>
      </w:r>
      <w:r w:rsidR="004C4119">
        <w:rPr>
          <w:rFonts w:ascii="Arial" w:hAnsi="Arial" w:cs="Arial"/>
          <w:sz w:val="24"/>
          <w:szCs w:val="24"/>
        </w:rPr>
        <w:t>; c</w:t>
      </w:r>
      <w:r w:rsidR="00F62859" w:rsidRPr="00B93138">
        <w:rPr>
          <w:rFonts w:ascii="Arial" w:hAnsi="Arial" w:cs="Arial"/>
          <w:sz w:val="24"/>
          <w:szCs w:val="24"/>
        </w:rPr>
        <w:t>uarto eléctrico y bodega</w:t>
      </w:r>
      <w:r w:rsidR="004C4119">
        <w:rPr>
          <w:rFonts w:ascii="Arial" w:hAnsi="Arial" w:cs="Arial"/>
          <w:sz w:val="24"/>
          <w:szCs w:val="24"/>
        </w:rPr>
        <w:t>, mód</w:t>
      </w:r>
      <w:r w:rsidR="00F62859" w:rsidRPr="00B93138">
        <w:rPr>
          <w:rFonts w:ascii="Arial" w:hAnsi="Arial" w:cs="Arial"/>
          <w:sz w:val="24"/>
          <w:szCs w:val="24"/>
        </w:rPr>
        <w:t>ulo de sanitarios</w:t>
      </w:r>
      <w:r w:rsidR="004C4119">
        <w:rPr>
          <w:rFonts w:ascii="Arial" w:hAnsi="Arial" w:cs="Arial"/>
          <w:sz w:val="24"/>
          <w:szCs w:val="24"/>
        </w:rPr>
        <w:t xml:space="preserve">. Tiene un área de </w:t>
      </w:r>
      <w:r w:rsidR="00F62859" w:rsidRPr="00B93138">
        <w:rPr>
          <w:rFonts w:ascii="Arial" w:hAnsi="Arial" w:cs="Arial"/>
          <w:sz w:val="24"/>
          <w:szCs w:val="24"/>
        </w:rPr>
        <w:t>726.12 m</w:t>
      </w:r>
      <w:r w:rsidR="00F62859" w:rsidRPr="004C4119">
        <w:rPr>
          <w:rFonts w:ascii="Arial" w:hAnsi="Arial" w:cs="Arial"/>
          <w:sz w:val="24"/>
          <w:szCs w:val="24"/>
          <w:vertAlign w:val="superscript"/>
        </w:rPr>
        <w:t>2</w:t>
      </w:r>
      <w:r w:rsidR="004C4119">
        <w:rPr>
          <w:rFonts w:ascii="Arial" w:hAnsi="Arial" w:cs="Arial"/>
          <w:sz w:val="24"/>
          <w:szCs w:val="24"/>
        </w:rPr>
        <w:t>. El monto total de inversión es de más de 22.</w:t>
      </w:r>
      <w:r w:rsidR="00F62859" w:rsidRPr="00B93138">
        <w:rPr>
          <w:rFonts w:ascii="Arial" w:hAnsi="Arial" w:cs="Arial"/>
          <w:sz w:val="24"/>
          <w:szCs w:val="24"/>
        </w:rPr>
        <w:t>7</w:t>
      </w:r>
      <w:r w:rsidR="004C4119">
        <w:rPr>
          <w:rFonts w:ascii="Arial" w:hAnsi="Arial" w:cs="Arial"/>
          <w:sz w:val="24"/>
          <w:szCs w:val="24"/>
        </w:rPr>
        <w:t xml:space="preserve"> millones de pesos de financiamiento estatal. Se beneficiarán 2,100 alumnos.</w:t>
      </w:r>
    </w:p>
    <w:p w14:paraId="5ED9438A" w14:textId="5000FB85" w:rsidR="009C5743" w:rsidRDefault="009C5743" w:rsidP="00F62859">
      <w:pPr>
        <w:autoSpaceDN/>
        <w:jc w:val="both"/>
        <w:rPr>
          <w:rFonts w:ascii="Arial" w:hAnsi="Arial" w:cs="Arial"/>
          <w:sz w:val="24"/>
          <w:szCs w:val="24"/>
        </w:rPr>
      </w:pPr>
    </w:p>
    <w:p w14:paraId="50BDF6DB" w14:textId="22B40BB9" w:rsidR="009C5743" w:rsidRDefault="009C5743" w:rsidP="00F62859">
      <w:pPr>
        <w:autoSpaceDN/>
        <w:jc w:val="both"/>
        <w:rPr>
          <w:rFonts w:ascii="Arial" w:hAnsi="Arial" w:cs="Arial"/>
          <w:sz w:val="24"/>
          <w:szCs w:val="24"/>
        </w:rPr>
      </w:pPr>
    </w:p>
    <w:p w14:paraId="70327BB7" w14:textId="69A93309" w:rsidR="009C5743" w:rsidRDefault="009C5743" w:rsidP="00F62859">
      <w:pPr>
        <w:autoSpaceDN/>
        <w:jc w:val="both"/>
        <w:rPr>
          <w:rFonts w:ascii="Arial" w:hAnsi="Arial" w:cs="Arial"/>
          <w:b/>
          <w:sz w:val="24"/>
          <w:szCs w:val="24"/>
        </w:rPr>
      </w:pPr>
      <w:r w:rsidRPr="009C5743">
        <w:rPr>
          <w:rFonts w:ascii="Arial" w:hAnsi="Arial" w:cs="Arial"/>
          <w:b/>
          <w:sz w:val="24"/>
          <w:szCs w:val="24"/>
        </w:rPr>
        <w:t>Facultad de Medicina y Psicología/Facultad de Odontología</w:t>
      </w:r>
    </w:p>
    <w:p w14:paraId="394B72B2" w14:textId="5B3A6A4D" w:rsidR="00F62859" w:rsidRDefault="00D73641" w:rsidP="00FC3E8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C5743">
        <w:rPr>
          <w:rFonts w:ascii="Arial" w:hAnsi="Arial" w:cs="Arial"/>
          <w:sz w:val="24"/>
          <w:szCs w:val="24"/>
        </w:rPr>
        <w:t>dificio de Especialidades. Planta baja consta de: r</w:t>
      </w:r>
      <w:r w:rsidR="00F62859" w:rsidRPr="00B93138">
        <w:rPr>
          <w:rFonts w:ascii="Arial" w:hAnsi="Arial" w:cs="Arial"/>
          <w:sz w:val="24"/>
          <w:szCs w:val="24"/>
        </w:rPr>
        <w:t>ecepción</w:t>
      </w:r>
      <w:r w:rsidR="009C5743">
        <w:rPr>
          <w:rFonts w:ascii="Arial" w:hAnsi="Arial" w:cs="Arial"/>
          <w:sz w:val="24"/>
          <w:szCs w:val="24"/>
        </w:rPr>
        <w:t>, s</w:t>
      </w:r>
      <w:r w:rsidR="00F62859" w:rsidRPr="00B93138">
        <w:rPr>
          <w:rFonts w:ascii="Arial" w:hAnsi="Arial" w:cs="Arial"/>
          <w:sz w:val="24"/>
          <w:szCs w:val="24"/>
        </w:rPr>
        <w:t xml:space="preserve">ala de espera </w:t>
      </w:r>
      <w:r w:rsidR="009C5743">
        <w:rPr>
          <w:rFonts w:ascii="Arial" w:hAnsi="Arial" w:cs="Arial"/>
          <w:sz w:val="24"/>
          <w:szCs w:val="24"/>
        </w:rPr>
        <w:t xml:space="preserve">para </w:t>
      </w:r>
      <w:r w:rsidR="00F62859" w:rsidRPr="00B93138">
        <w:rPr>
          <w:rFonts w:ascii="Arial" w:hAnsi="Arial" w:cs="Arial"/>
          <w:sz w:val="24"/>
          <w:szCs w:val="24"/>
        </w:rPr>
        <w:t>32 personas</w:t>
      </w:r>
      <w:r w:rsidR="009C5743">
        <w:rPr>
          <w:rFonts w:ascii="Arial" w:hAnsi="Arial" w:cs="Arial"/>
          <w:sz w:val="24"/>
          <w:szCs w:val="24"/>
        </w:rPr>
        <w:t>, cuatro C</w:t>
      </w:r>
      <w:r w:rsidR="00F62859" w:rsidRPr="00B93138">
        <w:rPr>
          <w:rFonts w:ascii="Arial" w:hAnsi="Arial" w:cs="Arial"/>
          <w:sz w:val="24"/>
          <w:szCs w:val="24"/>
        </w:rPr>
        <w:t xml:space="preserve">línicas </w:t>
      </w:r>
      <w:r w:rsidR="009C5743">
        <w:rPr>
          <w:rFonts w:ascii="Arial" w:hAnsi="Arial" w:cs="Arial"/>
          <w:sz w:val="24"/>
          <w:szCs w:val="24"/>
        </w:rPr>
        <w:t>O</w:t>
      </w:r>
      <w:r w:rsidR="00F62859" w:rsidRPr="00B93138">
        <w:rPr>
          <w:rFonts w:ascii="Arial" w:hAnsi="Arial" w:cs="Arial"/>
          <w:sz w:val="24"/>
          <w:szCs w:val="24"/>
        </w:rPr>
        <w:t xml:space="preserve">dontológicas </w:t>
      </w:r>
      <w:r w:rsidR="009C5743">
        <w:rPr>
          <w:rFonts w:ascii="Arial" w:hAnsi="Arial" w:cs="Arial"/>
          <w:sz w:val="24"/>
          <w:szCs w:val="24"/>
        </w:rPr>
        <w:t>con</w:t>
      </w:r>
      <w:r w:rsidR="00F62859" w:rsidRPr="00B93138">
        <w:rPr>
          <w:rFonts w:ascii="Arial" w:hAnsi="Arial" w:cs="Arial"/>
          <w:sz w:val="24"/>
          <w:szCs w:val="24"/>
        </w:rPr>
        <w:t xml:space="preserve"> 32 sillones </w:t>
      </w:r>
      <w:r w:rsidR="009C5743">
        <w:rPr>
          <w:rFonts w:ascii="Arial" w:hAnsi="Arial" w:cs="Arial"/>
          <w:sz w:val="24"/>
          <w:szCs w:val="24"/>
        </w:rPr>
        <w:t xml:space="preserve">en conjunto, un </w:t>
      </w:r>
      <w:r w:rsidR="00F62859" w:rsidRPr="00B93138">
        <w:rPr>
          <w:rFonts w:ascii="Arial" w:hAnsi="Arial" w:cs="Arial"/>
          <w:sz w:val="24"/>
          <w:szCs w:val="24"/>
        </w:rPr>
        <w:t xml:space="preserve">laboratorio </w:t>
      </w:r>
      <w:r w:rsidR="009C5743">
        <w:rPr>
          <w:rFonts w:ascii="Arial" w:hAnsi="Arial" w:cs="Arial"/>
          <w:sz w:val="24"/>
          <w:szCs w:val="24"/>
        </w:rPr>
        <w:t xml:space="preserve">CEYE, dos módulos </w:t>
      </w:r>
      <w:r w:rsidR="00F62859" w:rsidRPr="00B93138">
        <w:rPr>
          <w:rFonts w:ascii="Arial" w:hAnsi="Arial" w:cs="Arial"/>
          <w:sz w:val="24"/>
          <w:szCs w:val="24"/>
        </w:rPr>
        <w:t>sanitarios</w:t>
      </w:r>
      <w:r w:rsidR="009C5743">
        <w:rPr>
          <w:rFonts w:ascii="Arial" w:hAnsi="Arial" w:cs="Arial"/>
          <w:sz w:val="24"/>
          <w:szCs w:val="24"/>
        </w:rPr>
        <w:t xml:space="preserve">; site y </w:t>
      </w:r>
      <w:r w:rsidR="00F62859" w:rsidRPr="00B93138">
        <w:rPr>
          <w:rFonts w:ascii="Arial" w:hAnsi="Arial" w:cs="Arial"/>
          <w:sz w:val="24"/>
          <w:szCs w:val="24"/>
        </w:rPr>
        <w:t>cuarto eléctrico</w:t>
      </w:r>
      <w:r w:rsidR="009C5743">
        <w:rPr>
          <w:rFonts w:ascii="Arial" w:hAnsi="Arial" w:cs="Arial"/>
          <w:sz w:val="24"/>
          <w:szCs w:val="24"/>
        </w:rPr>
        <w:t>, elevador y e</w:t>
      </w:r>
      <w:r w:rsidR="00F62859" w:rsidRPr="00B93138">
        <w:rPr>
          <w:rFonts w:ascii="Arial" w:hAnsi="Arial" w:cs="Arial"/>
          <w:sz w:val="24"/>
          <w:szCs w:val="24"/>
        </w:rPr>
        <w:t>scalera principal</w:t>
      </w:r>
      <w:r w:rsidR="009C5743">
        <w:rPr>
          <w:rFonts w:ascii="Arial" w:hAnsi="Arial" w:cs="Arial"/>
          <w:sz w:val="24"/>
          <w:szCs w:val="24"/>
        </w:rPr>
        <w:t xml:space="preserve">, cuarto de máquinas y </w:t>
      </w:r>
      <w:r w:rsidR="00F62859" w:rsidRPr="00B93138">
        <w:rPr>
          <w:rFonts w:ascii="Arial" w:hAnsi="Arial" w:cs="Arial"/>
          <w:sz w:val="24"/>
          <w:szCs w:val="24"/>
        </w:rPr>
        <w:t>Telemedicina</w:t>
      </w:r>
      <w:r w:rsidR="009C5743">
        <w:rPr>
          <w:rFonts w:ascii="Arial" w:hAnsi="Arial" w:cs="Arial"/>
          <w:sz w:val="24"/>
          <w:szCs w:val="24"/>
        </w:rPr>
        <w:t xml:space="preserve">. Primer nivel alberga: cinco </w:t>
      </w:r>
      <w:r w:rsidR="00F62859" w:rsidRPr="00B93138">
        <w:rPr>
          <w:rFonts w:ascii="Arial" w:hAnsi="Arial" w:cs="Arial"/>
          <w:sz w:val="24"/>
          <w:szCs w:val="24"/>
        </w:rPr>
        <w:t>consultorios especializados</w:t>
      </w:r>
      <w:r w:rsidR="009C5743">
        <w:rPr>
          <w:rFonts w:ascii="Arial" w:hAnsi="Arial" w:cs="Arial"/>
          <w:sz w:val="24"/>
          <w:szCs w:val="24"/>
        </w:rPr>
        <w:t xml:space="preserve">, </w:t>
      </w:r>
      <w:r w:rsidR="00F62859" w:rsidRPr="00B93138">
        <w:rPr>
          <w:rFonts w:ascii="Arial" w:hAnsi="Arial" w:cs="Arial"/>
          <w:sz w:val="24"/>
          <w:szCs w:val="24"/>
        </w:rPr>
        <w:t xml:space="preserve">Urgencias </w:t>
      </w:r>
      <w:r w:rsidR="00E62464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F62859" w:rsidRPr="00B93138">
        <w:rPr>
          <w:rFonts w:ascii="Arial" w:hAnsi="Arial" w:cs="Arial"/>
          <w:sz w:val="24"/>
          <w:szCs w:val="24"/>
        </w:rPr>
        <w:t>édicas (</w:t>
      </w:r>
      <w:r w:rsidR="009C5743">
        <w:rPr>
          <w:rFonts w:ascii="Arial" w:hAnsi="Arial" w:cs="Arial"/>
          <w:sz w:val="24"/>
          <w:szCs w:val="24"/>
        </w:rPr>
        <w:t>e</w:t>
      </w:r>
      <w:r w:rsidR="00F62859" w:rsidRPr="00B93138">
        <w:rPr>
          <w:rFonts w:ascii="Arial" w:hAnsi="Arial" w:cs="Arial"/>
          <w:sz w:val="24"/>
          <w:szCs w:val="24"/>
        </w:rPr>
        <w:t>stabilización de pacientes)</w:t>
      </w:r>
      <w:r w:rsidR="009C5743">
        <w:rPr>
          <w:rFonts w:ascii="Arial" w:hAnsi="Arial" w:cs="Arial"/>
          <w:sz w:val="24"/>
          <w:szCs w:val="24"/>
        </w:rPr>
        <w:t>, q</w:t>
      </w:r>
      <w:r w:rsidR="00F62859" w:rsidRPr="00B93138">
        <w:rPr>
          <w:rFonts w:ascii="Arial" w:hAnsi="Arial" w:cs="Arial"/>
          <w:sz w:val="24"/>
          <w:szCs w:val="24"/>
        </w:rPr>
        <w:t>uirófano</w:t>
      </w:r>
      <w:r w:rsidR="009C5743">
        <w:rPr>
          <w:rFonts w:ascii="Arial" w:hAnsi="Arial" w:cs="Arial"/>
          <w:sz w:val="24"/>
          <w:szCs w:val="24"/>
        </w:rPr>
        <w:t>, á</w:t>
      </w:r>
      <w:r w:rsidR="00F62859" w:rsidRPr="00B93138">
        <w:rPr>
          <w:rFonts w:ascii="Arial" w:hAnsi="Arial" w:cs="Arial"/>
          <w:sz w:val="24"/>
          <w:szCs w:val="24"/>
        </w:rPr>
        <w:t xml:space="preserve">rea de </w:t>
      </w:r>
      <w:r w:rsidR="009C5743">
        <w:rPr>
          <w:rFonts w:ascii="Arial" w:hAnsi="Arial" w:cs="Arial"/>
          <w:sz w:val="24"/>
          <w:szCs w:val="24"/>
        </w:rPr>
        <w:t>tomografía, á</w:t>
      </w:r>
      <w:r w:rsidR="00F62859" w:rsidRPr="00B93138">
        <w:rPr>
          <w:rFonts w:ascii="Arial" w:hAnsi="Arial" w:cs="Arial"/>
          <w:sz w:val="24"/>
          <w:szCs w:val="24"/>
        </w:rPr>
        <w:t xml:space="preserve">rea de </w:t>
      </w:r>
      <w:r w:rsidR="009C5743">
        <w:rPr>
          <w:rFonts w:ascii="Arial" w:hAnsi="Arial" w:cs="Arial"/>
          <w:sz w:val="24"/>
          <w:szCs w:val="24"/>
        </w:rPr>
        <w:t>r</w:t>
      </w:r>
      <w:r w:rsidR="00F62859" w:rsidRPr="00B93138">
        <w:rPr>
          <w:rFonts w:ascii="Arial" w:hAnsi="Arial" w:cs="Arial"/>
          <w:sz w:val="24"/>
          <w:szCs w:val="24"/>
        </w:rPr>
        <w:t xml:space="preserve">ayos </w:t>
      </w:r>
      <w:r w:rsidR="009C5743">
        <w:rPr>
          <w:rFonts w:ascii="Arial" w:hAnsi="Arial" w:cs="Arial"/>
          <w:sz w:val="24"/>
          <w:szCs w:val="24"/>
        </w:rPr>
        <w:t xml:space="preserve">X, recepción, sala de espera para 12 personas, site y cuarto eléctrico, módulo de sanitarios. La construcción es de </w:t>
      </w:r>
      <w:r w:rsidR="00F62859" w:rsidRPr="00B93138">
        <w:rPr>
          <w:rFonts w:ascii="Arial" w:hAnsi="Arial" w:cs="Arial"/>
          <w:sz w:val="24"/>
          <w:szCs w:val="24"/>
        </w:rPr>
        <w:t>1,687.00 m</w:t>
      </w:r>
      <w:r w:rsidR="00F62859" w:rsidRPr="006C25C9">
        <w:rPr>
          <w:rFonts w:ascii="Arial" w:hAnsi="Arial" w:cs="Arial"/>
          <w:sz w:val="24"/>
          <w:szCs w:val="24"/>
          <w:vertAlign w:val="superscript"/>
        </w:rPr>
        <w:t>2</w:t>
      </w:r>
      <w:r w:rsidR="00F62859" w:rsidRPr="00B93138">
        <w:rPr>
          <w:rFonts w:ascii="Arial" w:hAnsi="Arial" w:cs="Arial"/>
          <w:sz w:val="24"/>
          <w:szCs w:val="24"/>
        </w:rPr>
        <w:t xml:space="preserve"> </w:t>
      </w:r>
      <w:r w:rsidR="003F6CBB">
        <w:rPr>
          <w:rFonts w:ascii="Arial" w:hAnsi="Arial" w:cs="Arial"/>
          <w:sz w:val="24"/>
          <w:szCs w:val="24"/>
        </w:rPr>
        <w:t xml:space="preserve">en los dos niveles. La inversión corresponde a </w:t>
      </w:r>
      <w:r w:rsidR="00F62859" w:rsidRPr="00B93138">
        <w:rPr>
          <w:rFonts w:ascii="Arial" w:hAnsi="Arial" w:cs="Arial"/>
          <w:sz w:val="24"/>
          <w:szCs w:val="24"/>
        </w:rPr>
        <w:t>31,999,995.71</w:t>
      </w:r>
      <w:r w:rsidR="00B6783A">
        <w:rPr>
          <w:rFonts w:ascii="Arial" w:hAnsi="Arial" w:cs="Arial"/>
          <w:sz w:val="24"/>
          <w:szCs w:val="24"/>
        </w:rPr>
        <w:t xml:space="preserve"> pesos</w:t>
      </w:r>
      <w:r w:rsidR="00F62859" w:rsidRPr="00B93138">
        <w:rPr>
          <w:rFonts w:ascii="Arial" w:hAnsi="Arial" w:cs="Arial"/>
          <w:sz w:val="24"/>
          <w:szCs w:val="24"/>
        </w:rPr>
        <w:t xml:space="preserve"> </w:t>
      </w:r>
      <w:r w:rsidR="003F6CBB">
        <w:rPr>
          <w:rFonts w:ascii="Arial" w:hAnsi="Arial" w:cs="Arial"/>
          <w:sz w:val="24"/>
          <w:szCs w:val="24"/>
        </w:rPr>
        <w:t>de financiamiento con recurso e</w:t>
      </w:r>
      <w:r w:rsidR="00F62859" w:rsidRPr="00B93138">
        <w:rPr>
          <w:rFonts w:ascii="Arial" w:hAnsi="Arial" w:cs="Arial"/>
          <w:sz w:val="24"/>
          <w:szCs w:val="24"/>
        </w:rPr>
        <w:t>statal</w:t>
      </w:r>
      <w:r w:rsidR="003F6CBB">
        <w:rPr>
          <w:rFonts w:ascii="Arial" w:hAnsi="Arial" w:cs="Arial"/>
          <w:sz w:val="24"/>
          <w:szCs w:val="24"/>
        </w:rPr>
        <w:t xml:space="preserve"> y </w:t>
      </w:r>
      <w:r w:rsidR="00F62859" w:rsidRPr="00B93138">
        <w:rPr>
          <w:rFonts w:ascii="Arial" w:hAnsi="Arial" w:cs="Arial"/>
          <w:sz w:val="24"/>
          <w:szCs w:val="24"/>
        </w:rPr>
        <w:t xml:space="preserve">7,500,000.00 </w:t>
      </w:r>
      <w:r w:rsidR="00B6783A">
        <w:rPr>
          <w:rFonts w:ascii="Arial" w:hAnsi="Arial" w:cs="Arial"/>
          <w:sz w:val="24"/>
          <w:szCs w:val="24"/>
        </w:rPr>
        <w:t xml:space="preserve">pesos </w:t>
      </w:r>
      <w:r w:rsidR="003F6CBB">
        <w:rPr>
          <w:rFonts w:ascii="Arial" w:hAnsi="Arial" w:cs="Arial"/>
          <w:sz w:val="24"/>
          <w:szCs w:val="24"/>
        </w:rPr>
        <w:t>de re</w:t>
      </w:r>
      <w:r w:rsidR="00F62859" w:rsidRPr="00B93138">
        <w:rPr>
          <w:rFonts w:ascii="Arial" w:hAnsi="Arial" w:cs="Arial"/>
          <w:sz w:val="24"/>
          <w:szCs w:val="24"/>
        </w:rPr>
        <w:t>curso</w:t>
      </w:r>
      <w:r w:rsidR="003F6CBB">
        <w:rPr>
          <w:rFonts w:ascii="Arial" w:hAnsi="Arial" w:cs="Arial"/>
          <w:sz w:val="24"/>
          <w:szCs w:val="24"/>
        </w:rPr>
        <w:t>s p</w:t>
      </w:r>
      <w:r w:rsidR="00F62859" w:rsidRPr="00B93138">
        <w:rPr>
          <w:rFonts w:ascii="Arial" w:hAnsi="Arial" w:cs="Arial"/>
          <w:sz w:val="24"/>
          <w:szCs w:val="24"/>
        </w:rPr>
        <w:t>ropios</w:t>
      </w:r>
      <w:r w:rsidR="003F6CBB">
        <w:rPr>
          <w:rFonts w:ascii="Arial" w:hAnsi="Arial" w:cs="Arial"/>
          <w:sz w:val="24"/>
          <w:szCs w:val="24"/>
        </w:rPr>
        <w:t>. Podrán participar 260 alumnos y se podrá atender a 4,000 pacientes por semestre.</w:t>
      </w:r>
    </w:p>
    <w:p w14:paraId="29D0AAAB" w14:textId="45301F7D" w:rsidR="003F6CBB" w:rsidRPr="006C25C9" w:rsidRDefault="003F6CBB" w:rsidP="00FC3E87">
      <w:pPr>
        <w:autoSpaceDN/>
        <w:jc w:val="both"/>
        <w:rPr>
          <w:rFonts w:ascii="Arial" w:hAnsi="Arial" w:cs="Arial"/>
          <w:sz w:val="16"/>
          <w:szCs w:val="16"/>
        </w:rPr>
      </w:pPr>
    </w:p>
    <w:p w14:paraId="6234CF2E" w14:textId="0D9C09F4" w:rsidR="003F6CBB" w:rsidRPr="006C25C9" w:rsidRDefault="003F6CBB" w:rsidP="00FC3E87">
      <w:pPr>
        <w:autoSpaceDN/>
        <w:jc w:val="both"/>
        <w:rPr>
          <w:rFonts w:ascii="Arial" w:hAnsi="Arial" w:cs="Arial"/>
          <w:b/>
          <w:sz w:val="24"/>
          <w:szCs w:val="24"/>
        </w:rPr>
      </w:pPr>
      <w:r w:rsidRPr="006C25C9">
        <w:rPr>
          <w:rFonts w:ascii="Arial" w:hAnsi="Arial" w:cs="Arial"/>
          <w:b/>
          <w:sz w:val="24"/>
          <w:szCs w:val="24"/>
        </w:rPr>
        <w:t>Facultad de Turismo y Mercadotecnia</w:t>
      </w:r>
    </w:p>
    <w:p w14:paraId="70D233FD" w14:textId="45A20C25" w:rsidR="000A719B" w:rsidRDefault="00D73641" w:rsidP="00F6285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F6CBB">
        <w:rPr>
          <w:rFonts w:ascii="Arial" w:hAnsi="Arial" w:cs="Arial"/>
          <w:sz w:val="24"/>
          <w:szCs w:val="24"/>
        </w:rPr>
        <w:t xml:space="preserve">dificio de talleres. Planta baja: dos talleres de cocina, almacén de insumos, cuarto frío, site de telecomunicaciones, cuarto eléctrico y bodega, elevador y escalera. Primer nivel: </w:t>
      </w:r>
      <w:r w:rsidR="006C25C9">
        <w:rPr>
          <w:rFonts w:ascii="Arial" w:hAnsi="Arial" w:cs="Arial"/>
          <w:sz w:val="24"/>
          <w:szCs w:val="24"/>
        </w:rPr>
        <w:t xml:space="preserve">terraza comedor, bodega, área de preparación de alimentos al aire libre, café bistro. La obra es de </w:t>
      </w:r>
      <w:r w:rsidR="00F62859" w:rsidRPr="00B93138">
        <w:rPr>
          <w:rFonts w:ascii="Arial" w:hAnsi="Arial" w:cs="Arial"/>
          <w:sz w:val="24"/>
          <w:szCs w:val="24"/>
        </w:rPr>
        <w:t>1,687.00 m</w:t>
      </w:r>
      <w:r w:rsidR="006C25C9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="006C25C9">
        <w:rPr>
          <w:rFonts w:ascii="Arial" w:hAnsi="Arial" w:cs="Arial"/>
          <w:sz w:val="24"/>
          <w:szCs w:val="24"/>
        </w:rPr>
        <w:t>en dos niveles.</w:t>
      </w:r>
      <w:r w:rsidR="00B5039D">
        <w:rPr>
          <w:rFonts w:ascii="Arial" w:hAnsi="Arial" w:cs="Arial"/>
          <w:sz w:val="24"/>
          <w:szCs w:val="24"/>
        </w:rPr>
        <w:t xml:space="preserve"> La inversión es de 22,399,999.99 </w:t>
      </w:r>
      <w:r w:rsidR="00B6783A">
        <w:rPr>
          <w:rFonts w:ascii="Arial" w:hAnsi="Arial" w:cs="Arial"/>
          <w:sz w:val="24"/>
          <w:szCs w:val="24"/>
        </w:rPr>
        <w:t xml:space="preserve">pesos </w:t>
      </w:r>
      <w:r w:rsidR="00B5039D">
        <w:rPr>
          <w:rFonts w:ascii="Arial" w:hAnsi="Arial" w:cs="Arial"/>
          <w:sz w:val="24"/>
          <w:szCs w:val="24"/>
        </w:rPr>
        <w:t>de recurso estatal. Este edificio beneficiará a cerca de 400 alumnos.</w:t>
      </w:r>
    </w:p>
    <w:p w14:paraId="56ABDC16" w14:textId="1A27191A" w:rsidR="00DC2C10" w:rsidRPr="00B6783A" w:rsidRDefault="00DC2C10" w:rsidP="00F62859">
      <w:pPr>
        <w:autoSpaceDN/>
        <w:jc w:val="both"/>
        <w:rPr>
          <w:rFonts w:ascii="Arial" w:hAnsi="Arial" w:cs="Arial"/>
          <w:sz w:val="16"/>
          <w:szCs w:val="16"/>
        </w:rPr>
      </w:pPr>
    </w:p>
    <w:p w14:paraId="68FABD81" w14:textId="2523F985" w:rsidR="00DC2C10" w:rsidRPr="00DC2C10" w:rsidRDefault="00DC2C10" w:rsidP="00F62859">
      <w:pPr>
        <w:autoSpaceDN/>
        <w:jc w:val="both"/>
        <w:rPr>
          <w:rFonts w:ascii="Arial" w:hAnsi="Arial" w:cs="Arial"/>
          <w:b/>
          <w:sz w:val="24"/>
          <w:szCs w:val="24"/>
        </w:rPr>
      </w:pPr>
      <w:r w:rsidRPr="00DC2C10">
        <w:rPr>
          <w:rFonts w:ascii="Arial" w:hAnsi="Arial" w:cs="Arial"/>
          <w:b/>
          <w:sz w:val="24"/>
          <w:szCs w:val="24"/>
        </w:rPr>
        <w:t>Facultad de Derecho</w:t>
      </w:r>
    </w:p>
    <w:p w14:paraId="0570D5E1" w14:textId="06A84F07" w:rsidR="00C17BC5" w:rsidRPr="00DC2C10" w:rsidRDefault="00B6783A" w:rsidP="00DC2C10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Primera etapa de construcción de edificio de Posgrado, el cual constará de tres niveles. Planta baja: S</w:t>
      </w:r>
      <w:r w:rsidR="00DC2C10" w:rsidRPr="00DC2C10">
        <w:rPr>
          <w:rFonts w:ascii="Arial" w:hAnsi="Arial" w:cs="Arial"/>
          <w:sz w:val="24"/>
          <w:szCs w:val="24"/>
        </w:rPr>
        <w:t>ala de Juicios Orales para 80 personas</w:t>
      </w:r>
      <w:r>
        <w:rPr>
          <w:rFonts w:ascii="Arial" w:hAnsi="Arial" w:cs="Arial"/>
          <w:sz w:val="24"/>
          <w:szCs w:val="24"/>
        </w:rPr>
        <w:t xml:space="preserve">, </w:t>
      </w:r>
      <w:r w:rsidR="00DC2C10" w:rsidRPr="00DC2C10">
        <w:rPr>
          <w:rFonts w:ascii="Arial" w:hAnsi="Arial" w:cs="Arial"/>
          <w:sz w:val="24"/>
          <w:szCs w:val="24"/>
        </w:rPr>
        <w:t>Auditorio para 140 personas</w:t>
      </w:r>
      <w:r>
        <w:rPr>
          <w:rFonts w:ascii="Arial" w:hAnsi="Arial" w:cs="Arial"/>
          <w:sz w:val="24"/>
          <w:szCs w:val="24"/>
        </w:rPr>
        <w:t>, site de telecomunicaciones, c</w:t>
      </w:r>
      <w:r w:rsidR="00DC2C10" w:rsidRPr="00DC2C10">
        <w:rPr>
          <w:rFonts w:ascii="Arial" w:hAnsi="Arial" w:cs="Arial"/>
          <w:sz w:val="24"/>
          <w:szCs w:val="24"/>
        </w:rPr>
        <w:t>uarto eléctrico</w:t>
      </w:r>
      <w:r>
        <w:rPr>
          <w:rFonts w:ascii="Arial" w:hAnsi="Arial" w:cs="Arial"/>
          <w:sz w:val="24"/>
          <w:szCs w:val="24"/>
        </w:rPr>
        <w:t>, módulo de sanitarios, c</w:t>
      </w:r>
      <w:r w:rsidR="00DC2C10" w:rsidRPr="00DC2C10">
        <w:rPr>
          <w:rFonts w:ascii="Arial" w:hAnsi="Arial" w:cs="Arial"/>
          <w:sz w:val="24"/>
          <w:szCs w:val="24"/>
        </w:rPr>
        <w:t>ubo de escalera</w:t>
      </w:r>
      <w:r>
        <w:rPr>
          <w:rFonts w:ascii="Arial" w:hAnsi="Arial" w:cs="Arial"/>
          <w:sz w:val="24"/>
          <w:szCs w:val="24"/>
        </w:rPr>
        <w:t xml:space="preserve"> y elevador. El espacio de la obra consta de </w:t>
      </w:r>
      <w:r w:rsidR="00DC2C10" w:rsidRPr="00DC2C10">
        <w:rPr>
          <w:rFonts w:ascii="Arial" w:hAnsi="Arial" w:cs="Arial"/>
          <w:sz w:val="24"/>
          <w:szCs w:val="24"/>
        </w:rPr>
        <w:t>737.13 m2</w:t>
      </w:r>
      <w:r>
        <w:rPr>
          <w:rFonts w:ascii="Arial" w:hAnsi="Arial" w:cs="Arial"/>
          <w:sz w:val="24"/>
          <w:szCs w:val="24"/>
        </w:rPr>
        <w:t xml:space="preserve">. La inversión es de </w:t>
      </w:r>
      <w:r w:rsidR="00DC2C10" w:rsidRPr="00DC2C10">
        <w:rPr>
          <w:rFonts w:ascii="Arial" w:hAnsi="Arial" w:cs="Arial"/>
          <w:sz w:val="24"/>
          <w:szCs w:val="24"/>
        </w:rPr>
        <w:t xml:space="preserve">33,600,000.00 </w:t>
      </w:r>
      <w:r>
        <w:rPr>
          <w:rFonts w:ascii="Arial" w:hAnsi="Arial" w:cs="Arial"/>
          <w:sz w:val="24"/>
          <w:szCs w:val="24"/>
        </w:rPr>
        <w:t>pesos de recurso estatal. Se beneficiarán más de 3,800 a</w:t>
      </w:r>
      <w:r w:rsidR="00DC2C10" w:rsidRPr="00DC2C10">
        <w:rPr>
          <w:rFonts w:ascii="Arial" w:hAnsi="Arial" w:cs="Arial"/>
          <w:sz w:val="24"/>
          <w:szCs w:val="24"/>
        </w:rPr>
        <w:t>lumnos</w:t>
      </w:r>
      <w:r>
        <w:rPr>
          <w:rFonts w:ascii="Arial" w:hAnsi="Arial" w:cs="Arial"/>
          <w:sz w:val="24"/>
          <w:szCs w:val="24"/>
        </w:rPr>
        <w:t>.</w:t>
      </w:r>
    </w:p>
    <w:p w14:paraId="110B6BFA" w14:textId="77777777" w:rsidR="00DC2C10" w:rsidRPr="00B6783A" w:rsidRDefault="00DC2C10" w:rsidP="00F62859">
      <w:pPr>
        <w:autoSpaceDN/>
        <w:jc w:val="both"/>
        <w:rPr>
          <w:rFonts w:ascii="Arial" w:hAnsi="Arial" w:cs="Arial"/>
          <w:b/>
          <w:sz w:val="16"/>
          <w:szCs w:val="16"/>
        </w:rPr>
      </w:pPr>
    </w:p>
    <w:p w14:paraId="5E303A31" w14:textId="64970799" w:rsidR="00C17BC5" w:rsidRPr="00CF433A" w:rsidRDefault="00C17BC5" w:rsidP="00F62859">
      <w:pPr>
        <w:autoSpaceDN/>
        <w:jc w:val="both"/>
        <w:rPr>
          <w:rFonts w:ascii="Arial" w:hAnsi="Arial" w:cs="Arial"/>
          <w:b/>
          <w:sz w:val="24"/>
          <w:szCs w:val="24"/>
        </w:rPr>
      </w:pPr>
      <w:r w:rsidRPr="00CF433A">
        <w:rPr>
          <w:rFonts w:ascii="Arial" w:hAnsi="Arial" w:cs="Arial"/>
          <w:b/>
          <w:sz w:val="24"/>
          <w:szCs w:val="24"/>
        </w:rPr>
        <w:t>Centro Universitario Rosarito</w:t>
      </w:r>
    </w:p>
    <w:p w14:paraId="0947690D" w14:textId="649BF8DE" w:rsidR="000A719B" w:rsidRDefault="00D73641" w:rsidP="00FC3E8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17BC5">
        <w:rPr>
          <w:rFonts w:ascii="Arial" w:hAnsi="Arial" w:cs="Arial"/>
          <w:sz w:val="24"/>
          <w:szCs w:val="24"/>
        </w:rPr>
        <w:t xml:space="preserve">afetería. Planta de sótano: cuarto de </w:t>
      </w:r>
      <w:r w:rsidR="000A719B" w:rsidRPr="00B93138">
        <w:rPr>
          <w:rFonts w:ascii="Arial" w:hAnsi="Arial" w:cs="Arial"/>
          <w:sz w:val="24"/>
          <w:szCs w:val="24"/>
        </w:rPr>
        <w:t>equipo hidroneumático</w:t>
      </w:r>
      <w:r w:rsidR="00C17BC5">
        <w:rPr>
          <w:rFonts w:ascii="Arial" w:hAnsi="Arial" w:cs="Arial"/>
          <w:sz w:val="24"/>
          <w:szCs w:val="24"/>
        </w:rPr>
        <w:t>. Planta baja: dos concesiones de cocina, dos locales para renta, área de comensales al i</w:t>
      </w:r>
      <w:r w:rsidR="000A719B" w:rsidRPr="00B93138">
        <w:rPr>
          <w:rFonts w:ascii="Arial" w:hAnsi="Arial" w:cs="Arial"/>
          <w:sz w:val="24"/>
          <w:szCs w:val="24"/>
        </w:rPr>
        <w:t xml:space="preserve">nterior </w:t>
      </w:r>
      <w:r w:rsidR="00C17BC5">
        <w:rPr>
          <w:rFonts w:ascii="Arial" w:hAnsi="Arial" w:cs="Arial"/>
          <w:sz w:val="24"/>
          <w:szCs w:val="24"/>
        </w:rPr>
        <w:t xml:space="preserve">con capacidad para </w:t>
      </w:r>
      <w:r w:rsidR="000A719B" w:rsidRPr="00B93138">
        <w:rPr>
          <w:rFonts w:ascii="Arial" w:hAnsi="Arial" w:cs="Arial"/>
          <w:sz w:val="24"/>
          <w:szCs w:val="24"/>
        </w:rPr>
        <w:t>76 personas</w:t>
      </w:r>
      <w:r w:rsidR="00C17BC5">
        <w:rPr>
          <w:rFonts w:ascii="Arial" w:hAnsi="Arial" w:cs="Arial"/>
          <w:sz w:val="24"/>
          <w:szCs w:val="24"/>
        </w:rPr>
        <w:t>, á</w:t>
      </w:r>
      <w:r w:rsidR="000A719B" w:rsidRPr="00B93138">
        <w:rPr>
          <w:rFonts w:ascii="Arial" w:hAnsi="Arial" w:cs="Arial"/>
          <w:sz w:val="24"/>
          <w:szCs w:val="24"/>
        </w:rPr>
        <w:t>rea de come</w:t>
      </w:r>
      <w:r w:rsidR="00C17BC5">
        <w:rPr>
          <w:rFonts w:ascii="Arial" w:hAnsi="Arial" w:cs="Arial"/>
          <w:sz w:val="24"/>
          <w:szCs w:val="24"/>
        </w:rPr>
        <w:t>nsales al exterior (t</w:t>
      </w:r>
      <w:r w:rsidR="000A719B" w:rsidRPr="00B93138">
        <w:rPr>
          <w:rFonts w:ascii="Arial" w:hAnsi="Arial" w:cs="Arial"/>
          <w:sz w:val="24"/>
          <w:szCs w:val="24"/>
        </w:rPr>
        <w:t xml:space="preserve">erraza </w:t>
      </w:r>
      <w:r w:rsidR="00C17BC5">
        <w:rPr>
          <w:rFonts w:ascii="Arial" w:hAnsi="Arial" w:cs="Arial"/>
          <w:sz w:val="24"/>
          <w:szCs w:val="24"/>
        </w:rPr>
        <w:t>para 48 personas), mó</w:t>
      </w:r>
      <w:r w:rsidR="000A719B" w:rsidRPr="00B93138">
        <w:rPr>
          <w:rFonts w:ascii="Arial" w:hAnsi="Arial" w:cs="Arial"/>
          <w:sz w:val="24"/>
          <w:szCs w:val="24"/>
        </w:rPr>
        <w:t>dulo de sanitarios</w:t>
      </w:r>
      <w:r w:rsidR="00C17BC5">
        <w:rPr>
          <w:rFonts w:ascii="Arial" w:hAnsi="Arial" w:cs="Arial"/>
          <w:sz w:val="24"/>
          <w:szCs w:val="24"/>
        </w:rPr>
        <w:t>. Planta alta: área de comensales al i</w:t>
      </w:r>
      <w:r w:rsidR="000A719B" w:rsidRPr="00B93138">
        <w:rPr>
          <w:rFonts w:ascii="Arial" w:hAnsi="Arial" w:cs="Arial"/>
          <w:sz w:val="24"/>
          <w:szCs w:val="24"/>
        </w:rPr>
        <w:t>nterior</w:t>
      </w:r>
      <w:r w:rsidR="00C17BC5">
        <w:rPr>
          <w:rFonts w:ascii="Arial" w:hAnsi="Arial" w:cs="Arial"/>
          <w:sz w:val="24"/>
          <w:szCs w:val="24"/>
        </w:rPr>
        <w:t xml:space="preserve"> para </w:t>
      </w:r>
      <w:r w:rsidR="000A719B" w:rsidRPr="00B93138">
        <w:rPr>
          <w:rFonts w:ascii="Arial" w:hAnsi="Arial" w:cs="Arial"/>
          <w:sz w:val="24"/>
          <w:szCs w:val="24"/>
        </w:rPr>
        <w:t>92 personas</w:t>
      </w:r>
      <w:r w:rsidR="00C17BC5">
        <w:rPr>
          <w:rFonts w:ascii="Arial" w:hAnsi="Arial" w:cs="Arial"/>
          <w:sz w:val="24"/>
          <w:szCs w:val="24"/>
        </w:rPr>
        <w:t>, s</w:t>
      </w:r>
      <w:r w:rsidR="000A719B" w:rsidRPr="00B93138">
        <w:rPr>
          <w:rFonts w:ascii="Arial" w:hAnsi="Arial" w:cs="Arial"/>
          <w:sz w:val="24"/>
          <w:szCs w:val="24"/>
        </w:rPr>
        <w:t>ite de telecomunicaciones</w:t>
      </w:r>
      <w:r w:rsidR="00C17BC5">
        <w:rPr>
          <w:rFonts w:ascii="Arial" w:hAnsi="Arial" w:cs="Arial"/>
          <w:sz w:val="24"/>
          <w:szCs w:val="24"/>
        </w:rPr>
        <w:t>, c</w:t>
      </w:r>
      <w:r w:rsidR="000A719B" w:rsidRPr="00B93138">
        <w:rPr>
          <w:rFonts w:ascii="Arial" w:hAnsi="Arial" w:cs="Arial"/>
          <w:sz w:val="24"/>
          <w:szCs w:val="24"/>
        </w:rPr>
        <w:t>uarto eléctrico y bodega</w:t>
      </w:r>
      <w:r w:rsidR="00C17BC5">
        <w:rPr>
          <w:rFonts w:ascii="Arial" w:hAnsi="Arial" w:cs="Arial"/>
          <w:sz w:val="24"/>
          <w:szCs w:val="24"/>
        </w:rPr>
        <w:t xml:space="preserve">. La construcción es de </w:t>
      </w:r>
      <w:r w:rsidR="000A719B" w:rsidRPr="00B93138">
        <w:rPr>
          <w:rFonts w:ascii="Arial" w:hAnsi="Arial" w:cs="Arial"/>
          <w:sz w:val="24"/>
          <w:szCs w:val="24"/>
        </w:rPr>
        <w:t>820.67 m</w:t>
      </w:r>
      <w:r w:rsidR="000A719B" w:rsidRPr="00236740">
        <w:rPr>
          <w:rFonts w:ascii="Arial" w:hAnsi="Arial" w:cs="Arial"/>
          <w:sz w:val="24"/>
          <w:szCs w:val="24"/>
          <w:vertAlign w:val="superscript"/>
        </w:rPr>
        <w:t>2</w:t>
      </w:r>
      <w:r w:rsidR="00C17BC5">
        <w:rPr>
          <w:rFonts w:ascii="Arial" w:hAnsi="Arial" w:cs="Arial"/>
          <w:sz w:val="24"/>
          <w:szCs w:val="24"/>
        </w:rPr>
        <w:t xml:space="preserve">. El monto de inversión es de </w:t>
      </w:r>
      <w:r w:rsidR="000A719B" w:rsidRPr="00B93138">
        <w:rPr>
          <w:rFonts w:ascii="Arial" w:hAnsi="Arial" w:cs="Arial"/>
          <w:sz w:val="24"/>
          <w:szCs w:val="24"/>
        </w:rPr>
        <w:t xml:space="preserve">29,465,873.87 </w:t>
      </w:r>
      <w:r w:rsidR="00B6783A">
        <w:rPr>
          <w:rFonts w:ascii="Arial" w:hAnsi="Arial" w:cs="Arial"/>
          <w:sz w:val="24"/>
          <w:szCs w:val="24"/>
        </w:rPr>
        <w:t xml:space="preserve">pesos de </w:t>
      </w:r>
      <w:r w:rsidR="00C17BC5">
        <w:rPr>
          <w:rFonts w:ascii="Arial" w:hAnsi="Arial" w:cs="Arial"/>
          <w:sz w:val="24"/>
          <w:szCs w:val="24"/>
        </w:rPr>
        <w:t xml:space="preserve">recurso propio. Se beneficiarán </w:t>
      </w:r>
      <w:r w:rsidR="000A719B" w:rsidRPr="00B93138">
        <w:rPr>
          <w:rFonts w:ascii="Arial" w:hAnsi="Arial" w:cs="Arial"/>
          <w:sz w:val="24"/>
          <w:szCs w:val="24"/>
        </w:rPr>
        <w:t>5</w:t>
      </w:r>
      <w:r w:rsidR="00CF433A">
        <w:rPr>
          <w:rFonts w:ascii="Arial" w:hAnsi="Arial" w:cs="Arial"/>
          <w:sz w:val="24"/>
          <w:szCs w:val="24"/>
        </w:rPr>
        <w:t>15 alumnos.</w:t>
      </w:r>
    </w:p>
    <w:p w14:paraId="3664C534" w14:textId="433AC595" w:rsidR="00CF433A" w:rsidRPr="00292786" w:rsidRDefault="00CF433A" w:rsidP="00FC3E87">
      <w:pPr>
        <w:autoSpaceDN/>
        <w:jc w:val="both"/>
        <w:rPr>
          <w:rFonts w:ascii="Arial" w:hAnsi="Arial" w:cs="Arial"/>
          <w:sz w:val="16"/>
          <w:szCs w:val="16"/>
        </w:rPr>
      </w:pPr>
    </w:p>
    <w:p w14:paraId="096027A1" w14:textId="63D5B792" w:rsidR="000A719B" w:rsidRPr="00B93138" w:rsidRDefault="00236740" w:rsidP="00FC3E8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Estacionamiento de concreto hidráulico. Tiene capacidad para </w:t>
      </w:r>
      <w:r w:rsidR="000A719B" w:rsidRPr="00B93138">
        <w:rPr>
          <w:rFonts w:ascii="Arial" w:hAnsi="Arial" w:cs="Arial"/>
          <w:sz w:val="24"/>
          <w:szCs w:val="24"/>
        </w:rPr>
        <w:t xml:space="preserve">110 vehículos, </w:t>
      </w:r>
      <w:r>
        <w:rPr>
          <w:rFonts w:ascii="Arial" w:hAnsi="Arial" w:cs="Arial"/>
          <w:sz w:val="24"/>
          <w:szCs w:val="24"/>
        </w:rPr>
        <w:t>cuatro</w:t>
      </w:r>
      <w:r w:rsidR="000A719B" w:rsidRPr="00B93138">
        <w:rPr>
          <w:rFonts w:ascii="Arial" w:hAnsi="Arial" w:cs="Arial"/>
          <w:sz w:val="24"/>
          <w:szCs w:val="24"/>
        </w:rPr>
        <w:t xml:space="preserve"> motocicletas, </w:t>
      </w:r>
      <w:r>
        <w:rPr>
          <w:rFonts w:ascii="Arial" w:hAnsi="Arial" w:cs="Arial"/>
          <w:sz w:val="24"/>
          <w:szCs w:val="24"/>
        </w:rPr>
        <w:t>seis bicicletas, cuatro</w:t>
      </w:r>
      <w:r w:rsidR="000A719B" w:rsidRPr="00B93138">
        <w:rPr>
          <w:rFonts w:ascii="Arial" w:hAnsi="Arial" w:cs="Arial"/>
          <w:sz w:val="24"/>
          <w:szCs w:val="24"/>
        </w:rPr>
        <w:t xml:space="preserve"> espacios para vehículos de personas con discapacidad, banquetas, cuneta pluvial</w:t>
      </w:r>
      <w:r>
        <w:rPr>
          <w:rFonts w:ascii="Arial" w:hAnsi="Arial" w:cs="Arial"/>
          <w:sz w:val="24"/>
          <w:szCs w:val="24"/>
        </w:rPr>
        <w:t xml:space="preserve">. La superficie es de </w:t>
      </w:r>
      <w:r w:rsidR="000A719B" w:rsidRPr="00B93138">
        <w:rPr>
          <w:rFonts w:ascii="Arial" w:hAnsi="Arial" w:cs="Arial"/>
          <w:sz w:val="24"/>
          <w:szCs w:val="24"/>
        </w:rPr>
        <w:t>5,000 m</w:t>
      </w:r>
      <w:r w:rsidR="000A719B" w:rsidRPr="00236740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. La inversión es de </w:t>
      </w:r>
      <w:r w:rsidR="000A719B" w:rsidRPr="00B93138">
        <w:rPr>
          <w:rFonts w:ascii="Arial" w:hAnsi="Arial" w:cs="Arial"/>
          <w:sz w:val="24"/>
          <w:szCs w:val="24"/>
        </w:rPr>
        <w:t>8,624,776.64</w:t>
      </w:r>
      <w:r w:rsidR="00B6783A">
        <w:rPr>
          <w:rFonts w:ascii="Arial" w:hAnsi="Arial" w:cs="Arial"/>
          <w:sz w:val="24"/>
          <w:szCs w:val="24"/>
        </w:rPr>
        <w:t xml:space="preserve"> pesos</w:t>
      </w:r>
      <w:r w:rsidR="000A719B" w:rsidRPr="00B931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recurso propio.</w:t>
      </w:r>
    </w:p>
    <w:p w14:paraId="6375A126" w14:textId="77777777" w:rsidR="000A719B" w:rsidRPr="00B93138" w:rsidRDefault="000A719B" w:rsidP="00FC3E87">
      <w:pPr>
        <w:autoSpaceDN/>
        <w:jc w:val="both"/>
        <w:rPr>
          <w:rFonts w:ascii="Arial" w:hAnsi="Arial" w:cs="Arial"/>
          <w:sz w:val="24"/>
          <w:szCs w:val="24"/>
        </w:rPr>
      </w:pPr>
    </w:p>
    <w:p w14:paraId="40C7C796" w14:textId="77777777" w:rsidR="000A719B" w:rsidRPr="00B93138" w:rsidRDefault="000A719B" w:rsidP="00FC3E87">
      <w:pPr>
        <w:autoSpaceDN/>
        <w:jc w:val="both"/>
      </w:pPr>
    </w:p>
    <w:p w14:paraId="0CBF8A53" w14:textId="32B40F9D" w:rsidR="00F62859" w:rsidRPr="00B93138" w:rsidRDefault="00F62859" w:rsidP="00FC3E87">
      <w:pPr>
        <w:autoSpaceDN/>
        <w:jc w:val="both"/>
        <w:rPr>
          <w:rFonts w:ascii="Arial" w:hAnsi="Arial" w:cs="Arial"/>
          <w:sz w:val="24"/>
          <w:szCs w:val="24"/>
        </w:rPr>
      </w:pPr>
      <w:r w:rsidRPr="00B93138">
        <w:rPr>
          <w:rFonts w:ascii="Arial" w:hAnsi="Arial" w:cs="Arial"/>
          <w:sz w:val="24"/>
          <w:szCs w:val="24"/>
        </w:rPr>
        <w:t xml:space="preserve"> </w:t>
      </w:r>
    </w:p>
    <w:p w14:paraId="3EA7E742" w14:textId="77777777" w:rsidR="00321370" w:rsidRPr="00321370" w:rsidRDefault="00321370" w:rsidP="00321370">
      <w:pPr>
        <w:autoSpaceDN/>
        <w:jc w:val="both"/>
        <w:rPr>
          <w:rFonts w:ascii="Arial" w:hAnsi="Arial" w:cs="Arial"/>
          <w:sz w:val="24"/>
          <w:szCs w:val="24"/>
        </w:rPr>
      </w:pPr>
    </w:p>
    <w:p w14:paraId="3F4F9EA1" w14:textId="7B7EA901" w:rsidR="009139A6" w:rsidRPr="00B93138" w:rsidRDefault="009139A6" w:rsidP="00321370">
      <w:pPr>
        <w:shd w:val="clear" w:color="auto" w:fill="FFFFFF"/>
        <w:jc w:val="both"/>
        <w:rPr>
          <w:rFonts w:ascii="Arial" w:hAnsi="Arial" w:cs="Arial"/>
          <w:b/>
          <w:sz w:val="16"/>
          <w:szCs w:val="16"/>
        </w:rPr>
      </w:pPr>
    </w:p>
    <w:p w14:paraId="5EF3FBDC" w14:textId="77777777" w:rsidR="00321370" w:rsidRPr="00B93138" w:rsidRDefault="00321370" w:rsidP="00321370">
      <w:pPr>
        <w:shd w:val="clear" w:color="auto" w:fill="FFFFFF"/>
        <w:jc w:val="both"/>
        <w:rPr>
          <w:rFonts w:ascii="Arial" w:hAnsi="Arial" w:cs="Arial"/>
          <w:b/>
          <w:sz w:val="16"/>
          <w:szCs w:val="16"/>
        </w:rPr>
      </w:pPr>
    </w:p>
    <w:sectPr w:rsidR="00321370" w:rsidRPr="00B93138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156D0" w14:textId="77777777" w:rsidR="00EA382D" w:rsidRDefault="00EA382D">
      <w:r>
        <w:separator/>
      </w:r>
    </w:p>
  </w:endnote>
  <w:endnote w:type="continuationSeparator" w:id="0">
    <w:p w14:paraId="0A931F06" w14:textId="77777777" w:rsidR="00EA382D" w:rsidRDefault="00EA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730CF" w14:textId="77777777" w:rsidR="00EA382D" w:rsidRDefault="00EA382D">
      <w:r>
        <w:rPr>
          <w:color w:val="000000"/>
        </w:rPr>
        <w:separator/>
      </w:r>
    </w:p>
  </w:footnote>
  <w:footnote w:type="continuationSeparator" w:id="0">
    <w:p w14:paraId="21D01A17" w14:textId="77777777" w:rsidR="00EA382D" w:rsidRDefault="00EA3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3DC0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8DA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A14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2859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5B4A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4407D-A34F-4BF5-B8AE-6A58ADF0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923</Words>
  <Characters>5082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20</cp:revision>
  <cp:lastPrinted>2023-01-24T20:50:00Z</cp:lastPrinted>
  <dcterms:created xsi:type="dcterms:W3CDTF">2023-01-24T00:03:00Z</dcterms:created>
  <dcterms:modified xsi:type="dcterms:W3CDTF">2023-01-24T21:18:00Z</dcterms:modified>
</cp:coreProperties>
</file>