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7FE5B536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5B6A73">
        <w:rPr>
          <w:rFonts w:ascii="Arial" w:hAnsi="Arial" w:cs="Arial"/>
          <w:b/>
          <w:sz w:val="24"/>
          <w:szCs w:val="24"/>
        </w:rPr>
        <w:t>0</w:t>
      </w:r>
      <w:r w:rsidR="00794CD2">
        <w:rPr>
          <w:rFonts w:ascii="Arial" w:hAnsi="Arial" w:cs="Arial"/>
          <w:b/>
          <w:sz w:val="24"/>
          <w:szCs w:val="24"/>
        </w:rPr>
        <w:t>9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DF588C1" w14:textId="77777777" w:rsidR="00FB6C81" w:rsidRPr="00FB6C81" w:rsidRDefault="00FB6C81" w:rsidP="005B6A7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7FBB4BD" w14:textId="555653CA" w:rsidR="005B6A73" w:rsidRPr="00B93138" w:rsidRDefault="002071D3" w:rsidP="007C632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36"/>
          <w:szCs w:val="36"/>
        </w:rPr>
        <w:t>Publica UABC Guía de Comunicación Incluyente</w:t>
      </w:r>
    </w:p>
    <w:p w14:paraId="1E3D458F" w14:textId="77777777" w:rsidR="005B6A73" w:rsidRPr="00520E8C" w:rsidRDefault="005B6A73" w:rsidP="007C632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7D072AD6" w14:textId="77777777" w:rsidR="00520E8C" w:rsidRPr="00520E8C" w:rsidRDefault="00520E8C" w:rsidP="007C6325">
      <w:pPr>
        <w:pStyle w:val="Prrafodelista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20E8C">
        <w:rPr>
          <w:rFonts w:ascii="Arial" w:hAnsi="Arial" w:cs="Arial"/>
          <w:sz w:val="24"/>
          <w:szCs w:val="24"/>
        </w:rPr>
        <w:t xml:space="preserve">La guía completa se puede consultar en: </w:t>
      </w:r>
      <w:hyperlink r:id="rId9" w:history="1">
        <w:r w:rsidRPr="00520E8C">
          <w:rPr>
            <w:rStyle w:val="Hipervnculo"/>
            <w:rFonts w:ascii="Arial" w:hAnsi="Arial" w:cs="Arial"/>
            <w:sz w:val="24"/>
            <w:szCs w:val="24"/>
          </w:rPr>
          <w:t>https://comunicacioninstitucional.uabc.mx/</w:t>
        </w:r>
      </w:hyperlink>
      <w:r w:rsidRPr="00520E8C">
        <w:rPr>
          <w:rFonts w:ascii="Arial" w:hAnsi="Arial" w:cs="Arial"/>
          <w:sz w:val="24"/>
          <w:szCs w:val="24"/>
        </w:rPr>
        <w:t>, en el apartado de Servicios.</w:t>
      </w:r>
    </w:p>
    <w:p w14:paraId="6DC05EC6" w14:textId="77777777" w:rsidR="005B6A73" w:rsidRPr="00520E8C" w:rsidRDefault="005B6A73" w:rsidP="007C6325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5D2F927" w14:textId="03AA59A1" w:rsidR="007313B1" w:rsidRPr="002A4F93" w:rsidRDefault="002071D3" w:rsidP="007C632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  <w:r w:rsidRPr="002A4F93">
        <w:rPr>
          <w:rFonts w:ascii="Arial" w:hAnsi="Arial" w:cs="Arial"/>
          <w:b/>
          <w:bCs/>
          <w:sz w:val="24"/>
          <w:szCs w:val="27"/>
        </w:rPr>
        <w:t>Mexicali</w:t>
      </w:r>
      <w:r w:rsidR="005B6A73" w:rsidRPr="002A4F93">
        <w:rPr>
          <w:rFonts w:ascii="Arial" w:hAnsi="Arial" w:cs="Arial"/>
          <w:b/>
          <w:bCs/>
          <w:sz w:val="24"/>
          <w:szCs w:val="27"/>
        </w:rPr>
        <w:t xml:space="preserve">, Baja California, </w:t>
      </w:r>
      <w:r w:rsidR="00393216" w:rsidRPr="002A4F93">
        <w:rPr>
          <w:rFonts w:ascii="Arial" w:hAnsi="Arial" w:cs="Arial"/>
          <w:b/>
          <w:bCs/>
          <w:sz w:val="24"/>
          <w:szCs w:val="27"/>
        </w:rPr>
        <w:t>miércoles 25</w:t>
      </w:r>
      <w:r w:rsidR="005B6A73" w:rsidRPr="002A4F93">
        <w:rPr>
          <w:rFonts w:ascii="Arial" w:hAnsi="Arial" w:cs="Arial"/>
          <w:b/>
          <w:bCs/>
          <w:sz w:val="24"/>
          <w:szCs w:val="27"/>
        </w:rPr>
        <w:t xml:space="preserve"> de enero de 2023.-</w:t>
      </w:r>
      <w:r w:rsidR="005B6A73" w:rsidRPr="002A4F93">
        <w:rPr>
          <w:rFonts w:ascii="Arial" w:hAnsi="Arial" w:cs="Arial"/>
          <w:sz w:val="24"/>
          <w:szCs w:val="27"/>
        </w:rPr>
        <w:t> </w:t>
      </w:r>
      <w:r w:rsidRPr="002A4F93">
        <w:rPr>
          <w:rFonts w:ascii="Arial" w:hAnsi="Arial" w:cs="Arial"/>
          <w:sz w:val="24"/>
          <w:szCs w:val="27"/>
        </w:rPr>
        <w:t>La Universidad Autónoma de Baja California (UABC) emitió la publicación de la Guía de Comunica</w:t>
      </w:r>
      <w:bookmarkStart w:id="0" w:name="_GoBack"/>
      <w:bookmarkEnd w:id="0"/>
      <w:r w:rsidRPr="002A4F93">
        <w:rPr>
          <w:rFonts w:ascii="Arial" w:hAnsi="Arial" w:cs="Arial"/>
          <w:sz w:val="24"/>
          <w:szCs w:val="27"/>
        </w:rPr>
        <w:t>ción Incluyente, una herramienta cuyo propósito es orientar a la comunidad universitaria respecto de la utilización de formas de comun</w:t>
      </w:r>
      <w:r w:rsidR="007C6325">
        <w:rPr>
          <w:rFonts w:ascii="Arial" w:hAnsi="Arial" w:cs="Arial"/>
          <w:sz w:val="24"/>
          <w:szCs w:val="27"/>
        </w:rPr>
        <w:t xml:space="preserve">icación incluyente y no sexista. Esto </w:t>
      </w:r>
      <w:r w:rsidRPr="002A4F93">
        <w:rPr>
          <w:rFonts w:ascii="Arial" w:hAnsi="Arial" w:cs="Arial"/>
          <w:sz w:val="24"/>
          <w:szCs w:val="27"/>
        </w:rPr>
        <w:t>en atención a las leyes que rigen en el país y tomando en cuenta las convenciones internacionales que ha suscrito México como parte de la Organización de las Naciones Unidas.</w:t>
      </w:r>
    </w:p>
    <w:p w14:paraId="6EF77876" w14:textId="26D5450C" w:rsidR="002071D3" w:rsidRPr="002A4F93" w:rsidRDefault="002071D3" w:rsidP="007C632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</w:p>
    <w:p w14:paraId="5EC6B2B3" w14:textId="23C658F3" w:rsidR="002071D3" w:rsidRPr="002A4F93" w:rsidRDefault="002071D3" w:rsidP="007C632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  <w:r w:rsidRPr="002A4F93">
        <w:rPr>
          <w:rFonts w:ascii="Arial" w:hAnsi="Arial" w:cs="Arial"/>
          <w:sz w:val="24"/>
          <w:szCs w:val="27"/>
        </w:rPr>
        <w:t xml:space="preserve">Algunas de estas convenciones </w:t>
      </w:r>
      <w:r w:rsidR="007C6325">
        <w:rPr>
          <w:rFonts w:ascii="Arial" w:hAnsi="Arial" w:cs="Arial"/>
          <w:sz w:val="24"/>
          <w:szCs w:val="27"/>
        </w:rPr>
        <w:t>son</w:t>
      </w:r>
      <w:r w:rsidRPr="002A4F93">
        <w:rPr>
          <w:rFonts w:ascii="Arial" w:hAnsi="Arial" w:cs="Arial"/>
          <w:sz w:val="24"/>
          <w:szCs w:val="27"/>
        </w:rPr>
        <w:t xml:space="preserve"> sobre</w:t>
      </w:r>
      <w:r w:rsidR="007C6325">
        <w:rPr>
          <w:rFonts w:ascii="Arial" w:hAnsi="Arial" w:cs="Arial"/>
          <w:sz w:val="24"/>
          <w:szCs w:val="27"/>
        </w:rPr>
        <w:t>:</w:t>
      </w:r>
      <w:r w:rsidRPr="002A4F93">
        <w:rPr>
          <w:rFonts w:ascii="Arial" w:hAnsi="Arial" w:cs="Arial"/>
          <w:sz w:val="24"/>
          <w:szCs w:val="27"/>
        </w:rPr>
        <w:t xml:space="preserve"> derechos humanos</w:t>
      </w:r>
      <w:r w:rsidR="007C6325">
        <w:rPr>
          <w:rFonts w:ascii="Arial" w:hAnsi="Arial" w:cs="Arial"/>
          <w:sz w:val="24"/>
          <w:szCs w:val="27"/>
        </w:rPr>
        <w:t>;</w:t>
      </w:r>
      <w:r w:rsidRPr="002A4F93">
        <w:rPr>
          <w:rFonts w:ascii="Arial" w:hAnsi="Arial" w:cs="Arial"/>
          <w:sz w:val="24"/>
          <w:szCs w:val="27"/>
        </w:rPr>
        <w:t xml:space="preserve"> eliminación de la discriminación</w:t>
      </w:r>
      <w:r w:rsidR="007C6325">
        <w:rPr>
          <w:rFonts w:ascii="Arial" w:hAnsi="Arial" w:cs="Arial"/>
          <w:sz w:val="24"/>
          <w:szCs w:val="27"/>
        </w:rPr>
        <w:t>;</w:t>
      </w:r>
      <w:r w:rsidR="003B2DBD" w:rsidRPr="002A4F93">
        <w:rPr>
          <w:rFonts w:ascii="Arial" w:hAnsi="Arial" w:cs="Arial"/>
          <w:sz w:val="24"/>
          <w:szCs w:val="27"/>
        </w:rPr>
        <w:t xml:space="preserve"> derechos de las personas con discapacidad, sob</w:t>
      </w:r>
      <w:r w:rsidR="007C6325">
        <w:rPr>
          <w:rFonts w:ascii="Arial" w:hAnsi="Arial" w:cs="Arial"/>
          <w:sz w:val="24"/>
          <w:szCs w:val="27"/>
        </w:rPr>
        <w:t xml:space="preserve">re pueblos indígenas y tribales; </w:t>
      </w:r>
      <w:r w:rsidR="003B2DBD" w:rsidRPr="002A4F93">
        <w:rPr>
          <w:rFonts w:ascii="Arial" w:hAnsi="Arial" w:cs="Arial"/>
          <w:sz w:val="24"/>
          <w:szCs w:val="27"/>
        </w:rPr>
        <w:t>trabajo doméstico</w:t>
      </w:r>
      <w:r w:rsidR="007C6325">
        <w:rPr>
          <w:rFonts w:ascii="Arial" w:hAnsi="Arial" w:cs="Arial"/>
          <w:sz w:val="24"/>
          <w:szCs w:val="27"/>
        </w:rPr>
        <w:t>;</w:t>
      </w:r>
      <w:r w:rsidR="003B2DBD" w:rsidRPr="002A4F93">
        <w:rPr>
          <w:rFonts w:ascii="Arial" w:hAnsi="Arial" w:cs="Arial"/>
          <w:sz w:val="24"/>
          <w:szCs w:val="27"/>
        </w:rPr>
        <w:t xml:space="preserve"> migración, entre otros tópicos. La UABC tiene una alta responsabilidad ante la sociedad, su actuar tiene fundamento en el conocimiento académico desarrollado mediante investigación científica, asentado en los derechos humanos y con el propósito de mejorar la calidad de vida de la comunidad a la que sirve.</w:t>
      </w:r>
    </w:p>
    <w:p w14:paraId="0CF50684" w14:textId="2F07B2F2" w:rsidR="002071D3" w:rsidRPr="002A4F93" w:rsidRDefault="002071D3" w:rsidP="007C632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</w:p>
    <w:p w14:paraId="621F1248" w14:textId="5FC4D4CF" w:rsidR="002A4F93" w:rsidRDefault="002071D3" w:rsidP="007C6325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2A4F93">
        <w:rPr>
          <w:rFonts w:ascii="Arial" w:hAnsi="Arial" w:cs="Arial"/>
          <w:sz w:val="24"/>
          <w:szCs w:val="24"/>
        </w:rPr>
        <w:t xml:space="preserve">Gran parte del contenido de este documento </w:t>
      </w:r>
      <w:r w:rsidR="003B2DBD" w:rsidRPr="002A4F93">
        <w:rPr>
          <w:rFonts w:ascii="Arial" w:hAnsi="Arial" w:cs="Arial"/>
          <w:sz w:val="24"/>
          <w:szCs w:val="24"/>
        </w:rPr>
        <w:t>se basa</w:t>
      </w:r>
      <w:r w:rsidRPr="002A4F93">
        <w:rPr>
          <w:rFonts w:ascii="Arial" w:hAnsi="Arial" w:cs="Arial"/>
          <w:sz w:val="24"/>
          <w:szCs w:val="24"/>
        </w:rPr>
        <w:t xml:space="preserve"> en diversas guías ya publicadas por el Instituto Nacional de las Mujeres, el Consejo Nacional para Prevenir la Discriminación, la Comisión Nacional para Prevenir y Erradicar la Violencia contra las Mujeres, </w:t>
      </w:r>
      <w:r w:rsidR="003B2DBD" w:rsidRPr="002A4F93">
        <w:rPr>
          <w:rFonts w:ascii="Arial" w:hAnsi="Arial" w:cs="Arial"/>
          <w:sz w:val="24"/>
          <w:szCs w:val="24"/>
        </w:rPr>
        <w:t xml:space="preserve">así como por </w:t>
      </w:r>
      <w:r w:rsidRPr="002A4F93">
        <w:rPr>
          <w:rFonts w:ascii="Arial" w:hAnsi="Arial" w:cs="Arial"/>
          <w:sz w:val="24"/>
          <w:szCs w:val="24"/>
        </w:rPr>
        <w:t>la Secretaría de Gobernación de</w:t>
      </w:r>
      <w:r w:rsidR="003B2DBD" w:rsidRPr="002A4F93">
        <w:rPr>
          <w:rFonts w:ascii="Arial" w:hAnsi="Arial" w:cs="Arial"/>
          <w:sz w:val="24"/>
          <w:szCs w:val="24"/>
        </w:rPr>
        <w:t xml:space="preserve">l </w:t>
      </w:r>
      <w:r w:rsidRPr="002A4F93">
        <w:rPr>
          <w:rFonts w:ascii="Arial" w:hAnsi="Arial" w:cs="Arial"/>
          <w:sz w:val="24"/>
          <w:szCs w:val="24"/>
        </w:rPr>
        <w:t xml:space="preserve">país. Con ejemplos claros, la guía </w:t>
      </w:r>
      <w:r w:rsidR="002A4F93" w:rsidRPr="002A4F93">
        <w:rPr>
          <w:rFonts w:ascii="Arial" w:hAnsi="Arial" w:cs="Arial"/>
          <w:sz w:val="24"/>
          <w:szCs w:val="24"/>
        </w:rPr>
        <w:t>muestra una mejor manera de comunicación, siguiendo las normas de la lengua española y, al mismo tiempo, utilizando recursos que permitan reconocer la existencia y contribuciones de todas las personas.</w:t>
      </w:r>
    </w:p>
    <w:p w14:paraId="62700A58" w14:textId="77777777" w:rsidR="002A4F93" w:rsidRDefault="002A4F93" w:rsidP="007C6325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A6C1F2E" w14:textId="60F4F629" w:rsidR="00794CD2" w:rsidRPr="00794CD2" w:rsidRDefault="00794CD2" w:rsidP="007C6325">
      <w:pPr>
        <w:jc w:val="both"/>
        <w:rPr>
          <w:rFonts w:ascii="Arial" w:hAnsi="Arial" w:cs="Arial"/>
          <w:sz w:val="24"/>
          <w:szCs w:val="24"/>
        </w:rPr>
      </w:pPr>
      <w:r w:rsidRPr="00794CD2">
        <w:rPr>
          <w:rFonts w:ascii="Arial" w:hAnsi="Arial" w:cs="Arial"/>
          <w:sz w:val="24"/>
          <w:szCs w:val="24"/>
        </w:rPr>
        <w:t xml:space="preserve">De acuerdo con el Consejo Nacional para Prevenir y Erradicar la Violencia contra las Mujeres (Conapred, 2015, p. 48), lenguaje incluyente es: Conjunto de usos del lenguaje que permite la construcción de discursos orales, escritos y visuales que reconocen la igualdad entre las mujeres y los hombres; elimina los usos y expresiones sexistas y discriminatorios del lenguaje; manifiesta la diversidad social; visibiliza y nombra de manera adecuada a los grupos y personas históricamente discriminados y contribuye a equilibrar las desigualdades. </w:t>
      </w:r>
    </w:p>
    <w:p w14:paraId="3094638E" w14:textId="77777777" w:rsidR="00794CD2" w:rsidRDefault="00794CD2" w:rsidP="007C6325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B7036C2" w14:textId="605E156B" w:rsidR="00794CD2" w:rsidRPr="00520E8C" w:rsidRDefault="00520E8C" w:rsidP="007C6325">
      <w:pPr>
        <w:jc w:val="both"/>
        <w:rPr>
          <w:rFonts w:ascii="Arial" w:hAnsi="Arial" w:cs="Arial"/>
          <w:sz w:val="24"/>
          <w:szCs w:val="24"/>
        </w:rPr>
      </w:pPr>
      <w:r w:rsidRPr="00520E8C">
        <w:rPr>
          <w:rFonts w:ascii="Arial" w:hAnsi="Arial" w:cs="Arial"/>
          <w:sz w:val="24"/>
          <w:szCs w:val="24"/>
        </w:rPr>
        <w:t xml:space="preserve">La guía completa se puede consultar en: </w:t>
      </w:r>
      <w:hyperlink r:id="rId10" w:history="1">
        <w:r w:rsidRPr="00356AC8">
          <w:rPr>
            <w:rStyle w:val="Hipervnculo"/>
            <w:rFonts w:ascii="Arial" w:hAnsi="Arial" w:cs="Arial"/>
            <w:sz w:val="24"/>
            <w:szCs w:val="24"/>
          </w:rPr>
          <w:t>https://comunicacioninstitucional.uabc.mx/</w:t>
        </w:r>
      </w:hyperlink>
      <w:r w:rsidRPr="00520E8C">
        <w:rPr>
          <w:rFonts w:ascii="Arial" w:hAnsi="Arial" w:cs="Arial"/>
          <w:sz w:val="24"/>
          <w:szCs w:val="24"/>
        </w:rPr>
        <w:t>, en el apartado de Servicios</w:t>
      </w:r>
      <w:r>
        <w:rPr>
          <w:rFonts w:ascii="Arial" w:hAnsi="Arial" w:cs="Arial"/>
          <w:sz w:val="24"/>
          <w:szCs w:val="24"/>
        </w:rPr>
        <w:t>.</w:t>
      </w:r>
    </w:p>
    <w:p w14:paraId="3AAD479B" w14:textId="77777777" w:rsidR="002071D3" w:rsidRPr="0090162D" w:rsidRDefault="002071D3" w:rsidP="007C6325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568C235" w14:textId="77777777" w:rsidR="002071D3" w:rsidRPr="0090162D" w:rsidRDefault="002071D3" w:rsidP="002071D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</w:rPr>
      </w:pPr>
    </w:p>
    <w:sectPr w:rsidR="002071D3" w:rsidRPr="0090162D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E64B0" w14:textId="77777777" w:rsidR="000150FD" w:rsidRDefault="000150FD">
      <w:r>
        <w:separator/>
      </w:r>
    </w:p>
  </w:endnote>
  <w:endnote w:type="continuationSeparator" w:id="0">
    <w:p w14:paraId="0A632581" w14:textId="77777777" w:rsidR="000150FD" w:rsidRDefault="0001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87CC" w14:textId="77777777" w:rsidR="000150FD" w:rsidRDefault="000150FD">
      <w:r>
        <w:rPr>
          <w:color w:val="000000"/>
        </w:rPr>
        <w:separator/>
      </w:r>
    </w:p>
  </w:footnote>
  <w:footnote w:type="continuationSeparator" w:id="0">
    <w:p w14:paraId="2D26EF6B" w14:textId="77777777" w:rsidR="000150FD" w:rsidRDefault="0001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A14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municacioninstitucional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unicacioninstitucional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23B7-8F47-459E-A00B-5E6DC83B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7</cp:revision>
  <cp:lastPrinted>2023-01-24T20:50:00Z</cp:lastPrinted>
  <dcterms:created xsi:type="dcterms:W3CDTF">2023-01-25T21:57:00Z</dcterms:created>
  <dcterms:modified xsi:type="dcterms:W3CDTF">2023-01-26T01:23:00Z</dcterms:modified>
</cp:coreProperties>
</file>