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DD289B3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FC2C26">
        <w:rPr>
          <w:rFonts w:ascii="Arial" w:hAnsi="Arial" w:cs="Arial"/>
          <w:b/>
          <w:sz w:val="24"/>
          <w:szCs w:val="24"/>
        </w:rPr>
        <w:t>9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94CC0D9" w14:textId="45D81F96" w:rsidR="00FC2C26" w:rsidRDefault="00FC2C26" w:rsidP="00FC2C26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D7510D">
        <w:rPr>
          <w:rFonts w:ascii="Arial" w:hAnsi="Arial" w:cs="Arial"/>
          <w:b/>
          <w:bCs/>
          <w:sz w:val="36"/>
          <w:szCs w:val="24"/>
        </w:rPr>
        <w:t>E</w:t>
      </w:r>
      <w:r w:rsidR="00D20350">
        <w:rPr>
          <w:rFonts w:ascii="Arial" w:hAnsi="Arial" w:cs="Arial"/>
          <w:b/>
          <w:bCs/>
          <w:sz w:val="36"/>
          <w:szCs w:val="24"/>
        </w:rPr>
        <w:t>ntregan reconocimiento a E</w:t>
      </w:r>
      <w:r w:rsidRPr="00D7510D">
        <w:rPr>
          <w:rFonts w:ascii="Arial" w:hAnsi="Arial" w:cs="Arial"/>
          <w:b/>
          <w:bCs/>
          <w:sz w:val="36"/>
          <w:szCs w:val="24"/>
        </w:rPr>
        <w:t xml:space="preserve">dificio de Rectoría </w:t>
      </w:r>
      <w:r w:rsidR="00E429D3">
        <w:rPr>
          <w:rFonts w:ascii="Arial" w:hAnsi="Arial" w:cs="Arial"/>
          <w:b/>
          <w:bCs/>
          <w:sz w:val="36"/>
          <w:szCs w:val="24"/>
        </w:rPr>
        <w:t xml:space="preserve">de la </w:t>
      </w:r>
      <w:r w:rsidRPr="00D7510D">
        <w:rPr>
          <w:rFonts w:ascii="Arial" w:hAnsi="Arial" w:cs="Arial"/>
          <w:b/>
          <w:bCs/>
          <w:sz w:val="36"/>
          <w:szCs w:val="24"/>
        </w:rPr>
        <w:t xml:space="preserve">UABC </w:t>
      </w:r>
    </w:p>
    <w:p w14:paraId="2E8FB309" w14:textId="77777777" w:rsidR="00FC2C26" w:rsidRPr="003421F9" w:rsidRDefault="00FC2C26" w:rsidP="00FC2C26">
      <w:pPr>
        <w:rPr>
          <w:rFonts w:ascii="Arial" w:hAnsi="Arial" w:cs="Arial"/>
          <w:b/>
          <w:bCs/>
          <w:sz w:val="16"/>
          <w:szCs w:val="16"/>
        </w:rPr>
      </w:pPr>
    </w:p>
    <w:p w14:paraId="59D43084" w14:textId="58FD6C32" w:rsidR="00FC2C26" w:rsidRPr="00D7510D" w:rsidRDefault="008B3CA0" w:rsidP="00FC2C26">
      <w:pPr>
        <w:pStyle w:val="Prrafodelista"/>
        <w:numPr>
          <w:ilvl w:val="0"/>
          <w:numId w:val="19"/>
        </w:numPr>
        <w:suppressAutoHyphens w:val="0"/>
        <w:autoSpaceDN/>
        <w:contextualSpacing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B3CA0">
        <w:rPr>
          <w:rFonts w:ascii="Arial" w:hAnsi="Arial" w:cs="Arial"/>
          <w:sz w:val="24"/>
          <w:szCs w:val="24"/>
        </w:rPr>
        <w:t xml:space="preserve">esde hace 46 años </w:t>
      </w:r>
      <w:r w:rsidR="00831112">
        <w:rPr>
          <w:rFonts w:ascii="Arial" w:hAnsi="Arial" w:cs="Arial"/>
          <w:sz w:val="24"/>
          <w:szCs w:val="24"/>
        </w:rPr>
        <w:t>el</w:t>
      </w:r>
      <w:r w:rsidRPr="008B3CA0">
        <w:rPr>
          <w:rFonts w:ascii="Arial" w:hAnsi="Arial" w:cs="Arial"/>
          <w:sz w:val="24"/>
          <w:szCs w:val="24"/>
        </w:rPr>
        <w:t xml:space="preserve"> edificio es parte de </w:t>
      </w:r>
      <w:r w:rsidR="001F3BD5">
        <w:rPr>
          <w:rFonts w:ascii="Arial" w:hAnsi="Arial" w:cs="Arial"/>
          <w:sz w:val="24"/>
          <w:szCs w:val="24"/>
        </w:rPr>
        <w:t>la</w:t>
      </w:r>
      <w:r w:rsidR="00831112">
        <w:rPr>
          <w:rFonts w:ascii="Arial" w:hAnsi="Arial" w:cs="Arial"/>
          <w:sz w:val="24"/>
          <w:szCs w:val="24"/>
        </w:rPr>
        <w:t xml:space="preserve"> máxima</w:t>
      </w:r>
      <w:r w:rsidRPr="008B3CA0">
        <w:rPr>
          <w:rFonts w:ascii="Arial" w:hAnsi="Arial" w:cs="Arial"/>
          <w:sz w:val="24"/>
          <w:szCs w:val="24"/>
        </w:rPr>
        <w:t xml:space="preserve"> casa de estudios</w:t>
      </w:r>
      <w:r w:rsidR="00831112">
        <w:rPr>
          <w:rFonts w:ascii="Arial" w:hAnsi="Arial" w:cs="Arial"/>
          <w:sz w:val="24"/>
          <w:szCs w:val="24"/>
        </w:rPr>
        <w:t>.</w:t>
      </w:r>
    </w:p>
    <w:p w14:paraId="3C562666" w14:textId="5291BD77" w:rsidR="00FC2C26" w:rsidRPr="00011AD7" w:rsidRDefault="00FC2C26" w:rsidP="00FC2C26">
      <w:pPr>
        <w:jc w:val="both"/>
        <w:rPr>
          <w:rFonts w:ascii="Arial" w:hAnsi="Arial" w:cs="Arial"/>
          <w:b/>
          <w:sz w:val="20"/>
          <w:szCs w:val="20"/>
        </w:rPr>
      </w:pPr>
    </w:p>
    <w:p w14:paraId="32416CEC" w14:textId="389EECE7" w:rsidR="004E5BDF" w:rsidRPr="008B3CA0" w:rsidRDefault="00FC2C26" w:rsidP="00FC2C26">
      <w:pPr>
        <w:jc w:val="both"/>
        <w:rPr>
          <w:rFonts w:ascii="Arial" w:hAnsi="Arial" w:cs="Arial"/>
          <w:sz w:val="24"/>
          <w:szCs w:val="24"/>
        </w:rPr>
      </w:pPr>
      <w:r w:rsidRPr="008B3CA0">
        <w:rPr>
          <w:rFonts w:ascii="Arial" w:hAnsi="Arial" w:cs="Arial"/>
          <w:b/>
          <w:sz w:val="24"/>
          <w:szCs w:val="24"/>
        </w:rPr>
        <w:t xml:space="preserve">Mexicali, Baja California, viernes </w:t>
      </w:r>
      <w:r w:rsidR="004E5BDF" w:rsidRPr="008B3CA0">
        <w:rPr>
          <w:rFonts w:ascii="Arial" w:hAnsi="Arial" w:cs="Arial"/>
          <w:b/>
          <w:sz w:val="24"/>
          <w:szCs w:val="24"/>
        </w:rPr>
        <w:t>24</w:t>
      </w:r>
      <w:r w:rsidRPr="008B3CA0">
        <w:rPr>
          <w:rFonts w:ascii="Arial" w:hAnsi="Arial" w:cs="Arial"/>
          <w:b/>
          <w:sz w:val="24"/>
          <w:szCs w:val="24"/>
        </w:rPr>
        <w:t xml:space="preserve"> de enero de 2023</w:t>
      </w:r>
      <w:r w:rsidRPr="008B3CA0">
        <w:rPr>
          <w:rFonts w:ascii="Arial" w:hAnsi="Arial" w:cs="Arial"/>
          <w:sz w:val="24"/>
          <w:szCs w:val="24"/>
        </w:rPr>
        <w:t xml:space="preserve">.- </w:t>
      </w:r>
      <w:r w:rsidR="00D20350">
        <w:rPr>
          <w:rFonts w:ascii="Arial" w:hAnsi="Arial" w:cs="Arial"/>
          <w:sz w:val="24"/>
          <w:szCs w:val="24"/>
        </w:rPr>
        <w:t>Fue develada</w:t>
      </w:r>
      <w:r w:rsidR="004E5BDF" w:rsidRPr="008B3CA0">
        <w:rPr>
          <w:rFonts w:ascii="Arial" w:hAnsi="Arial" w:cs="Arial"/>
          <w:sz w:val="24"/>
          <w:szCs w:val="24"/>
        </w:rPr>
        <w:t xml:space="preserve"> la placa </w:t>
      </w:r>
      <w:r w:rsidR="00831112">
        <w:rPr>
          <w:rFonts w:ascii="Arial" w:hAnsi="Arial" w:cs="Arial"/>
          <w:sz w:val="24"/>
          <w:szCs w:val="24"/>
        </w:rPr>
        <w:t xml:space="preserve">que </w:t>
      </w:r>
      <w:r w:rsidR="00D20350">
        <w:rPr>
          <w:rFonts w:ascii="Arial" w:hAnsi="Arial" w:cs="Arial"/>
          <w:sz w:val="24"/>
          <w:szCs w:val="24"/>
        </w:rPr>
        <w:t>conmemora</w:t>
      </w:r>
      <w:r w:rsidR="00831112">
        <w:rPr>
          <w:rFonts w:ascii="Arial" w:hAnsi="Arial" w:cs="Arial"/>
          <w:sz w:val="24"/>
          <w:szCs w:val="24"/>
        </w:rPr>
        <w:t xml:space="preserve"> la declaratoria del </w:t>
      </w:r>
      <w:r w:rsidR="00D20350">
        <w:rPr>
          <w:rFonts w:ascii="Arial" w:hAnsi="Arial" w:cs="Arial"/>
          <w:sz w:val="24"/>
          <w:szCs w:val="24"/>
        </w:rPr>
        <w:t>E</w:t>
      </w:r>
      <w:r w:rsidR="004E5BDF" w:rsidRPr="008B3CA0">
        <w:rPr>
          <w:rFonts w:ascii="Arial" w:hAnsi="Arial" w:cs="Arial"/>
          <w:sz w:val="24"/>
          <w:szCs w:val="24"/>
        </w:rPr>
        <w:t xml:space="preserve">dificio de Rectoría de la Universidad Autónoma de Baja California (UABC), </w:t>
      </w:r>
      <w:r w:rsidR="00831112">
        <w:rPr>
          <w:rFonts w:ascii="Arial" w:hAnsi="Arial" w:cs="Arial"/>
          <w:sz w:val="24"/>
          <w:szCs w:val="24"/>
        </w:rPr>
        <w:t>c</w:t>
      </w:r>
      <w:r w:rsidR="004E5BDF" w:rsidRPr="008B3CA0">
        <w:rPr>
          <w:rFonts w:ascii="Arial" w:hAnsi="Arial" w:cs="Arial"/>
          <w:sz w:val="24"/>
          <w:szCs w:val="24"/>
        </w:rPr>
        <w:t>omo “Patrimonio cultural</w:t>
      </w:r>
      <w:r w:rsidR="006D5D04">
        <w:rPr>
          <w:rFonts w:ascii="Arial" w:hAnsi="Arial" w:cs="Arial"/>
          <w:sz w:val="24"/>
          <w:szCs w:val="24"/>
        </w:rPr>
        <w:t xml:space="preserve"> del Estado de Baja California”</w:t>
      </w:r>
      <w:r w:rsidR="004E5BDF" w:rsidRPr="008B3CA0">
        <w:rPr>
          <w:rFonts w:ascii="Arial" w:hAnsi="Arial" w:cs="Arial"/>
          <w:sz w:val="24"/>
          <w:szCs w:val="24"/>
        </w:rPr>
        <w:t xml:space="preserve"> en reconocimiento a su valor </w:t>
      </w:r>
      <w:r w:rsidRPr="008B3CA0">
        <w:rPr>
          <w:rFonts w:ascii="Arial" w:hAnsi="Arial" w:cs="Arial"/>
          <w:sz w:val="24"/>
          <w:szCs w:val="24"/>
        </w:rPr>
        <w:t xml:space="preserve">histórico, estado de conservación y </w:t>
      </w:r>
      <w:r w:rsidR="004E5BDF" w:rsidRPr="008B3CA0">
        <w:rPr>
          <w:rFonts w:ascii="Arial" w:hAnsi="Arial" w:cs="Arial"/>
          <w:sz w:val="24"/>
          <w:szCs w:val="24"/>
        </w:rPr>
        <w:t xml:space="preserve">por </w:t>
      </w:r>
      <w:r w:rsidRPr="008B3CA0">
        <w:rPr>
          <w:rFonts w:ascii="Arial" w:hAnsi="Arial" w:cs="Arial"/>
          <w:sz w:val="24"/>
          <w:szCs w:val="24"/>
        </w:rPr>
        <w:t>ser un referente</w:t>
      </w:r>
      <w:r w:rsidR="00E429D3">
        <w:rPr>
          <w:rFonts w:ascii="Arial" w:hAnsi="Arial" w:cs="Arial"/>
          <w:sz w:val="24"/>
          <w:szCs w:val="24"/>
        </w:rPr>
        <w:t xml:space="preserve"> de la ciudad de Mexicali.</w:t>
      </w:r>
    </w:p>
    <w:p w14:paraId="75D72F04" w14:textId="77777777" w:rsidR="004E5BDF" w:rsidRPr="008B3CA0" w:rsidRDefault="004E5BDF" w:rsidP="00FC2C26">
      <w:pPr>
        <w:jc w:val="both"/>
        <w:rPr>
          <w:rFonts w:ascii="Arial" w:hAnsi="Arial" w:cs="Arial"/>
          <w:sz w:val="24"/>
          <w:szCs w:val="24"/>
        </w:rPr>
      </w:pPr>
    </w:p>
    <w:p w14:paraId="56F24127" w14:textId="79274EF4" w:rsidR="00FC2C26" w:rsidRPr="008B3CA0" w:rsidRDefault="004E5BDF" w:rsidP="00FC2C2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B3CA0">
        <w:rPr>
          <w:rFonts w:ascii="Arial" w:hAnsi="Arial" w:cs="Arial"/>
          <w:sz w:val="24"/>
          <w:szCs w:val="24"/>
        </w:rPr>
        <w:t xml:space="preserve">El 30 </w:t>
      </w:r>
      <w:r w:rsidR="00FC2C26" w:rsidRPr="008B3CA0">
        <w:rPr>
          <w:rFonts w:ascii="Arial" w:hAnsi="Arial" w:cs="Arial"/>
          <w:spacing w:val="-2"/>
          <w:sz w:val="24"/>
          <w:szCs w:val="24"/>
        </w:rPr>
        <w:t xml:space="preserve">de diciembre de 2022 </w:t>
      </w:r>
      <w:r w:rsidRPr="008B3CA0">
        <w:rPr>
          <w:rFonts w:ascii="Arial" w:hAnsi="Arial" w:cs="Arial"/>
          <w:spacing w:val="-2"/>
          <w:sz w:val="24"/>
          <w:szCs w:val="24"/>
        </w:rPr>
        <w:t xml:space="preserve">se publicó un </w:t>
      </w:r>
      <w:r w:rsidR="00FC2C26" w:rsidRPr="008B3CA0">
        <w:rPr>
          <w:rFonts w:ascii="Arial" w:hAnsi="Arial" w:cs="Arial"/>
          <w:spacing w:val="-2"/>
          <w:sz w:val="24"/>
          <w:szCs w:val="24"/>
        </w:rPr>
        <w:t>decreto firmado por la gobernadora, maestra Marina del Pilar Ávila Olmeda y el secretario general de gobierno, maestro Catalino Zavala Márquez</w:t>
      </w:r>
      <w:r w:rsidR="00831112">
        <w:rPr>
          <w:rFonts w:ascii="Arial" w:hAnsi="Arial" w:cs="Arial"/>
          <w:spacing w:val="-2"/>
          <w:sz w:val="24"/>
          <w:szCs w:val="24"/>
        </w:rPr>
        <w:t xml:space="preserve">, en el que se </w:t>
      </w:r>
      <w:r w:rsidR="00FC2C26" w:rsidRPr="008B3CA0">
        <w:rPr>
          <w:rFonts w:ascii="Arial" w:hAnsi="Arial" w:cs="Arial"/>
          <w:sz w:val="24"/>
          <w:szCs w:val="24"/>
        </w:rPr>
        <w:t>menciona que la edificación reúne características que la vinculan a la historia social, económica y política del estado, además de tener ya 100 años de haber sido inaugurado. Aunado a su función, en primera instancia como sede del Gobierno del Estado y posteriormente</w:t>
      </w:r>
      <w:r w:rsidR="006D5D04">
        <w:rPr>
          <w:rFonts w:ascii="Arial" w:hAnsi="Arial" w:cs="Arial"/>
          <w:sz w:val="24"/>
          <w:szCs w:val="24"/>
        </w:rPr>
        <w:t>,</w:t>
      </w:r>
      <w:r w:rsidR="00FC2C26" w:rsidRPr="008B3CA0">
        <w:rPr>
          <w:rFonts w:ascii="Arial" w:hAnsi="Arial" w:cs="Arial"/>
          <w:sz w:val="24"/>
          <w:szCs w:val="24"/>
        </w:rPr>
        <w:t xml:space="preserve"> albergar a la Rectoría de la UABC, el inmueble se ha convertido en un ícono de la ciudad de Mexicali y en un referente de la historia estatal.</w:t>
      </w:r>
    </w:p>
    <w:bookmarkEnd w:id="0"/>
    <w:p w14:paraId="26BA694F" w14:textId="77777777" w:rsidR="00FC2C26" w:rsidRPr="008B3CA0" w:rsidRDefault="00FC2C26" w:rsidP="00FC2C26">
      <w:pPr>
        <w:jc w:val="both"/>
        <w:rPr>
          <w:rFonts w:ascii="Arial" w:hAnsi="Arial" w:cs="Arial"/>
          <w:sz w:val="24"/>
          <w:szCs w:val="24"/>
        </w:rPr>
      </w:pPr>
    </w:p>
    <w:p w14:paraId="428187C9" w14:textId="3E755C05" w:rsidR="004E5BDF" w:rsidRPr="008B3CA0" w:rsidRDefault="004E5BDF" w:rsidP="004E5BDF">
      <w:pPr>
        <w:jc w:val="both"/>
        <w:rPr>
          <w:rFonts w:ascii="Arial" w:hAnsi="Arial" w:cs="Arial"/>
          <w:sz w:val="24"/>
          <w:szCs w:val="24"/>
        </w:rPr>
      </w:pPr>
      <w:r w:rsidRPr="008B3CA0">
        <w:rPr>
          <w:rFonts w:ascii="Arial" w:hAnsi="Arial" w:cs="Arial"/>
          <w:sz w:val="24"/>
          <w:szCs w:val="24"/>
        </w:rPr>
        <w:t>Durante la ceremonia de develación de la placa, el rector de la UABC, doctor Luis Enrique Palafox Maestre, mencionó</w:t>
      </w:r>
      <w:r w:rsidR="00530896" w:rsidRPr="008B3CA0">
        <w:rPr>
          <w:rFonts w:ascii="Arial" w:hAnsi="Arial" w:cs="Arial"/>
          <w:sz w:val="24"/>
          <w:szCs w:val="24"/>
        </w:rPr>
        <w:t xml:space="preserve"> que</w:t>
      </w:r>
      <w:r w:rsidRPr="008B3CA0">
        <w:rPr>
          <w:rFonts w:ascii="Arial" w:hAnsi="Arial" w:cs="Arial"/>
          <w:sz w:val="24"/>
          <w:szCs w:val="24"/>
        </w:rPr>
        <w:t xml:space="preserve"> </w:t>
      </w:r>
      <w:r w:rsidR="00530896" w:rsidRPr="008B3CA0">
        <w:rPr>
          <w:rFonts w:ascii="Arial" w:hAnsi="Arial" w:cs="Arial"/>
          <w:sz w:val="24"/>
          <w:szCs w:val="24"/>
        </w:rPr>
        <w:t xml:space="preserve">desde hace </w:t>
      </w:r>
      <w:r w:rsidRPr="008B3CA0">
        <w:rPr>
          <w:rFonts w:ascii="Arial" w:hAnsi="Arial" w:cs="Arial"/>
          <w:sz w:val="24"/>
          <w:szCs w:val="24"/>
        </w:rPr>
        <w:t xml:space="preserve">46 años </w:t>
      </w:r>
      <w:r w:rsidR="00831112">
        <w:rPr>
          <w:rFonts w:ascii="Arial" w:hAnsi="Arial" w:cs="Arial"/>
          <w:sz w:val="24"/>
          <w:szCs w:val="24"/>
        </w:rPr>
        <w:t>el</w:t>
      </w:r>
      <w:r w:rsidRPr="008B3CA0">
        <w:rPr>
          <w:rFonts w:ascii="Arial" w:hAnsi="Arial" w:cs="Arial"/>
          <w:sz w:val="24"/>
          <w:szCs w:val="24"/>
        </w:rPr>
        <w:t xml:space="preserve"> edificio </w:t>
      </w:r>
      <w:r w:rsidR="00530896" w:rsidRPr="008B3CA0">
        <w:rPr>
          <w:rFonts w:ascii="Arial" w:hAnsi="Arial" w:cs="Arial"/>
          <w:sz w:val="24"/>
          <w:szCs w:val="24"/>
        </w:rPr>
        <w:t xml:space="preserve">es </w:t>
      </w:r>
      <w:r w:rsidR="00D20350">
        <w:rPr>
          <w:rFonts w:ascii="Arial" w:hAnsi="Arial" w:cs="Arial"/>
          <w:sz w:val="24"/>
          <w:szCs w:val="24"/>
        </w:rPr>
        <w:t>símbolo</w:t>
      </w:r>
      <w:r w:rsidR="00530896" w:rsidRPr="008B3CA0">
        <w:rPr>
          <w:rFonts w:ascii="Arial" w:hAnsi="Arial" w:cs="Arial"/>
          <w:sz w:val="24"/>
          <w:szCs w:val="24"/>
        </w:rPr>
        <w:t xml:space="preserve"> de esta casa de estudios</w:t>
      </w:r>
      <w:r w:rsidR="006345D4">
        <w:rPr>
          <w:rFonts w:ascii="Arial" w:hAnsi="Arial" w:cs="Arial"/>
          <w:sz w:val="24"/>
          <w:szCs w:val="24"/>
        </w:rPr>
        <w:t xml:space="preserve">, pero también de toda la </w:t>
      </w:r>
      <w:r w:rsidR="00530896" w:rsidRPr="008B3CA0">
        <w:rPr>
          <w:rFonts w:ascii="Arial" w:hAnsi="Arial" w:cs="Arial"/>
          <w:sz w:val="24"/>
          <w:szCs w:val="24"/>
        </w:rPr>
        <w:t>comunidad mexicalense y bajacaliforniana, pues a través de él, las personas se remiten a la historia de la entidad y de la identidad cimarrona. Reconoció la participación de Esteban Cantú y José Inocente Lugo, los gobernadores más fuertemente vinculados con el edificio, uno por iniciar su construcción y el otro por concluirlo.</w:t>
      </w:r>
    </w:p>
    <w:p w14:paraId="5536311B" w14:textId="1B06AEC1" w:rsidR="00651398" w:rsidRPr="008B3CA0" w:rsidRDefault="00651398" w:rsidP="004E5BDF">
      <w:pPr>
        <w:jc w:val="both"/>
        <w:rPr>
          <w:rFonts w:ascii="Arial" w:hAnsi="Arial" w:cs="Arial"/>
          <w:sz w:val="24"/>
          <w:szCs w:val="24"/>
        </w:rPr>
      </w:pPr>
    </w:p>
    <w:p w14:paraId="6A6AE2B3" w14:textId="679B5954" w:rsidR="00651398" w:rsidRPr="008B3CA0" w:rsidRDefault="00651398" w:rsidP="004E5BDF">
      <w:pPr>
        <w:jc w:val="both"/>
        <w:rPr>
          <w:rFonts w:ascii="Arial" w:hAnsi="Arial" w:cs="Arial"/>
          <w:sz w:val="24"/>
          <w:szCs w:val="24"/>
        </w:rPr>
      </w:pPr>
      <w:r w:rsidRPr="008B3CA0">
        <w:rPr>
          <w:rFonts w:ascii="Arial" w:hAnsi="Arial" w:cs="Arial"/>
          <w:sz w:val="24"/>
          <w:szCs w:val="24"/>
        </w:rPr>
        <w:t xml:space="preserve">Destacó que la UABC ha sabido conservar el </w:t>
      </w:r>
      <w:r w:rsidR="00DE194C">
        <w:rPr>
          <w:rFonts w:ascii="Arial" w:hAnsi="Arial" w:cs="Arial"/>
          <w:sz w:val="24"/>
          <w:szCs w:val="24"/>
        </w:rPr>
        <w:t>inmueble</w:t>
      </w:r>
      <w:r w:rsidRPr="008B3CA0">
        <w:rPr>
          <w:rFonts w:ascii="Arial" w:hAnsi="Arial" w:cs="Arial"/>
          <w:sz w:val="24"/>
          <w:szCs w:val="24"/>
        </w:rPr>
        <w:t>, respetando su arquitectura e historia. “Por parte de la Universidad, no me que queda más que refrendar el compromiso por cuidar y preservar este recinto, y esperamos que la comunidad nos ayude, valorándolo, respetándolo y sintiéndolo como un preciado elemento de nuestra cultura, de nuestros valores y de nuestra historia”, manifestó el doctor Palafox Maestre.</w:t>
      </w:r>
    </w:p>
    <w:p w14:paraId="78D64736" w14:textId="4F76D0C3" w:rsidR="00587167" w:rsidRPr="008B3CA0" w:rsidRDefault="00587167" w:rsidP="004E5BDF">
      <w:pPr>
        <w:jc w:val="both"/>
        <w:rPr>
          <w:rFonts w:ascii="Arial" w:hAnsi="Arial" w:cs="Arial"/>
          <w:sz w:val="24"/>
          <w:szCs w:val="24"/>
        </w:rPr>
      </w:pPr>
    </w:p>
    <w:p w14:paraId="3CCE32CE" w14:textId="72A556A5" w:rsidR="00587167" w:rsidRPr="00587167" w:rsidRDefault="00587167" w:rsidP="00587167">
      <w:pPr>
        <w:jc w:val="both"/>
        <w:rPr>
          <w:rFonts w:ascii="Arial" w:hAnsi="Arial" w:cs="Arial"/>
          <w:sz w:val="24"/>
          <w:szCs w:val="24"/>
        </w:rPr>
      </w:pPr>
      <w:r w:rsidRPr="008B3CA0">
        <w:rPr>
          <w:rFonts w:ascii="Arial" w:hAnsi="Arial" w:cs="Arial"/>
          <w:sz w:val="24"/>
          <w:szCs w:val="24"/>
        </w:rPr>
        <w:t xml:space="preserve">Se sumó a la develación de la placa el maestro Zavala Márquez, quien mencionó que la </w:t>
      </w:r>
      <w:r w:rsidRPr="00587167">
        <w:rPr>
          <w:rFonts w:ascii="Arial" w:hAnsi="Arial" w:cs="Arial"/>
          <w:sz w:val="24"/>
          <w:szCs w:val="24"/>
        </w:rPr>
        <w:t xml:space="preserve">UABC constituye en sí misma un patrimonio, </w:t>
      </w:r>
      <w:r w:rsidRPr="008B3CA0">
        <w:rPr>
          <w:rFonts w:ascii="Arial" w:hAnsi="Arial" w:cs="Arial"/>
          <w:sz w:val="24"/>
          <w:szCs w:val="24"/>
        </w:rPr>
        <w:t>“</w:t>
      </w:r>
      <w:r w:rsidRPr="00587167">
        <w:rPr>
          <w:rFonts w:ascii="Arial" w:hAnsi="Arial" w:cs="Arial"/>
          <w:sz w:val="24"/>
          <w:szCs w:val="24"/>
        </w:rPr>
        <w:t xml:space="preserve">un caudal </w:t>
      </w:r>
      <w:r w:rsidRPr="008B3CA0">
        <w:rPr>
          <w:rFonts w:ascii="Arial" w:hAnsi="Arial" w:cs="Arial"/>
          <w:sz w:val="24"/>
          <w:szCs w:val="24"/>
        </w:rPr>
        <w:t xml:space="preserve">de saberes y de historias, pero, </w:t>
      </w:r>
      <w:r w:rsidRPr="00587167">
        <w:rPr>
          <w:rFonts w:ascii="Arial" w:hAnsi="Arial" w:cs="Arial"/>
          <w:sz w:val="24"/>
          <w:szCs w:val="24"/>
        </w:rPr>
        <w:t>sobre todo, la fortaleza de un estado que se reconoce en el potencial de profesionistas que forman parte de la construcción dinámica del desarrollo económico, social, político y cultural</w:t>
      </w:r>
      <w:r w:rsidRPr="008B3CA0">
        <w:rPr>
          <w:rFonts w:ascii="Arial" w:hAnsi="Arial" w:cs="Arial"/>
          <w:sz w:val="24"/>
          <w:szCs w:val="24"/>
        </w:rPr>
        <w:t>”</w:t>
      </w:r>
      <w:r w:rsidRPr="00587167">
        <w:rPr>
          <w:rFonts w:ascii="Arial" w:hAnsi="Arial" w:cs="Arial"/>
          <w:sz w:val="24"/>
          <w:szCs w:val="24"/>
        </w:rPr>
        <w:t>.</w:t>
      </w:r>
    </w:p>
    <w:p w14:paraId="4D7FE991" w14:textId="77777777" w:rsidR="00587167" w:rsidRPr="00587167" w:rsidRDefault="00587167" w:rsidP="00587167">
      <w:pPr>
        <w:autoSpaceDN/>
        <w:jc w:val="both"/>
        <w:rPr>
          <w:rFonts w:ascii="Arial" w:hAnsi="Arial" w:cs="Arial"/>
          <w:sz w:val="24"/>
          <w:szCs w:val="24"/>
        </w:rPr>
      </w:pPr>
    </w:p>
    <w:p w14:paraId="55D061CC" w14:textId="4DBED0BE" w:rsidR="00587167" w:rsidRPr="008B3CA0" w:rsidRDefault="00575EFF" w:rsidP="004E5BD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B3CA0">
        <w:rPr>
          <w:rFonts w:ascii="Arial" w:hAnsi="Arial" w:cs="Arial"/>
          <w:spacing w:val="-4"/>
          <w:sz w:val="24"/>
          <w:szCs w:val="24"/>
        </w:rPr>
        <w:t>Por su parte, la maestra Alma Delia Ábrego Ceballos, secretaria de Cultura de Baja California, refirió que el d</w:t>
      </w:r>
      <w:r w:rsidR="00587167" w:rsidRPr="008B3CA0">
        <w:rPr>
          <w:rFonts w:ascii="Arial" w:hAnsi="Arial" w:cs="Arial"/>
          <w:spacing w:val="-4"/>
          <w:sz w:val="24"/>
          <w:szCs w:val="24"/>
        </w:rPr>
        <w:t>ecreto a su vez</w:t>
      </w:r>
      <w:r w:rsidR="00DE194C">
        <w:rPr>
          <w:rFonts w:ascii="Arial" w:hAnsi="Arial" w:cs="Arial"/>
          <w:spacing w:val="-4"/>
          <w:sz w:val="24"/>
          <w:szCs w:val="24"/>
        </w:rPr>
        <w:t>,</w:t>
      </w:r>
      <w:r w:rsidR="00587167" w:rsidRPr="008B3CA0">
        <w:rPr>
          <w:rFonts w:ascii="Arial" w:hAnsi="Arial" w:cs="Arial"/>
          <w:spacing w:val="-4"/>
          <w:sz w:val="24"/>
          <w:szCs w:val="24"/>
        </w:rPr>
        <w:t xml:space="preserve"> es un reconocimiento al cuidado y atención que la UABC le ha brindado durante </w:t>
      </w:r>
      <w:r w:rsidRPr="008B3CA0">
        <w:rPr>
          <w:rFonts w:ascii="Arial" w:hAnsi="Arial" w:cs="Arial"/>
          <w:spacing w:val="-4"/>
          <w:sz w:val="24"/>
          <w:szCs w:val="24"/>
        </w:rPr>
        <w:t xml:space="preserve">los años que ha albergado a la Rectoría y dependencias de la administración central. </w:t>
      </w:r>
    </w:p>
    <w:p w14:paraId="797A3F10" w14:textId="77777777" w:rsidR="00FC2C26" w:rsidRPr="008B3CA0" w:rsidRDefault="00FC2C26" w:rsidP="00FC2C26">
      <w:pPr>
        <w:jc w:val="both"/>
        <w:rPr>
          <w:rFonts w:ascii="Arial" w:hAnsi="Arial" w:cs="Arial"/>
          <w:sz w:val="24"/>
          <w:szCs w:val="24"/>
        </w:rPr>
      </w:pPr>
    </w:p>
    <w:p w14:paraId="4664AEC8" w14:textId="77777777" w:rsidR="00FC2C26" w:rsidRPr="008B3CA0" w:rsidRDefault="00FC2C26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8B3CA0">
        <w:rPr>
          <w:rStyle w:val="Textoennegrita"/>
          <w:rFonts w:ascii="Arial" w:hAnsi="Arial" w:cs="Arial"/>
          <w:lang w:val="es-MX"/>
        </w:rPr>
        <w:t>Historia del edificio</w:t>
      </w:r>
    </w:p>
    <w:p w14:paraId="1F920F17" w14:textId="263C8137" w:rsidR="00FC2C26" w:rsidRPr="008B3CA0" w:rsidRDefault="00FC2C26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8B3CA0">
        <w:rPr>
          <w:rFonts w:ascii="Arial" w:hAnsi="Arial" w:cs="Arial"/>
          <w:lang w:val="es-MX"/>
        </w:rPr>
        <w:t>El coronel Esteban Cantú, quien encabezaba el Gobierno del Distrito Norte de la Baja California en la segunda década del siglo XX, propuso la construcción del palacio de gobierno</w:t>
      </w:r>
      <w:r w:rsidR="00DE194C">
        <w:rPr>
          <w:rFonts w:ascii="Arial" w:hAnsi="Arial" w:cs="Arial"/>
          <w:lang w:val="es-MX"/>
        </w:rPr>
        <w:t xml:space="preserve">. Para ello, </w:t>
      </w:r>
      <w:r w:rsidRPr="008B3CA0">
        <w:rPr>
          <w:rFonts w:ascii="Arial" w:hAnsi="Arial" w:cs="Arial"/>
          <w:lang w:val="es-MX"/>
        </w:rPr>
        <w:t xml:space="preserve">convocó </w:t>
      </w:r>
      <w:r w:rsidR="00DE194C">
        <w:rPr>
          <w:rFonts w:ascii="Arial" w:hAnsi="Arial" w:cs="Arial"/>
          <w:lang w:val="es-MX"/>
        </w:rPr>
        <w:t xml:space="preserve">a </w:t>
      </w:r>
      <w:r w:rsidRPr="008B3CA0">
        <w:rPr>
          <w:rFonts w:ascii="Arial" w:hAnsi="Arial" w:cs="Arial"/>
          <w:lang w:val="es-MX"/>
        </w:rPr>
        <w:t>un concurso en el que resultó ganadora la compañía constructora estadounidense Henry Clark Company</w:t>
      </w:r>
      <w:r w:rsidR="00DE194C">
        <w:rPr>
          <w:rFonts w:ascii="Arial" w:hAnsi="Arial" w:cs="Arial"/>
          <w:lang w:val="es-MX"/>
        </w:rPr>
        <w:t>.</w:t>
      </w:r>
    </w:p>
    <w:p w14:paraId="4159B66E" w14:textId="007D359A" w:rsidR="00FC2C26" w:rsidRPr="008B3CA0" w:rsidRDefault="00FC2C26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5E7E0C51" w14:textId="24AB622F" w:rsidR="008B3CA0" w:rsidRPr="008B3CA0" w:rsidRDefault="008B3CA0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5DE27373" w14:textId="5373DC77" w:rsidR="008B3CA0" w:rsidRDefault="008B3CA0" w:rsidP="00FC2C2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EDDAB55" w14:textId="39029726" w:rsidR="008B3CA0" w:rsidRDefault="008B3CA0" w:rsidP="00FC2C2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A66AE84" w14:textId="50420832" w:rsidR="008B3CA0" w:rsidRDefault="008B3CA0" w:rsidP="00FC2C2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04144F4" w14:textId="77777777" w:rsidR="008B3CA0" w:rsidRDefault="008B3CA0" w:rsidP="00FC2C2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5234281" w14:textId="3A005983" w:rsidR="00FC2C26" w:rsidRDefault="00FC2C26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A453B">
        <w:rPr>
          <w:rFonts w:ascii="Arial" w:hAnsi="Arial" w:cs="Arial"/>
          <w:lang w:val="es-MX"/>
        </w:rPr>
        <w:t xml:space="preserve">El diseño estuvo a cargo del arquitecto y artista mexicano José Solórzano. Después de dos años </w:t>
      </w:r>
      <w:r w:rsidR="00DE194C">
        <w:rPr>
          <w:rFonts w:ascii="Arial" w:hAnsi="Arial" w:cs="Arial"/>
          <w:lang w:val="es-MX"/>
        </w:rPr>
        <w:t>de iniciada</w:t>
      </w:r>
      <w:r w:rsidRPr="009A453B">
        <w:rPr>
          <w:rFonts w:ascii="Arial" w:hAnsi="Arial" w:cs="Arial"/>
          <w:lang w:val="es-MX"/>
        </w:rPr>
        <w:t xml:space="preserve"> su construcción, el edificio fue inaugurado por el gobernador José Inocente Lugo el 15 de septiembre de 1922. El diseño arquitectónico posee características sobrias y sólidas, propias de un estilo ecléctico, lo que resulta una mezcla de corrientes y estilos</w:t>
      </w:r>
      <w:r w:rsidR="00DE194C">
        <w:rPr>
          <w:rFonts w:ascii="Arial" w:hAnsi="Arial" w:cs="Arial"/>
          <w:lang w:val="es-MX"/>
        </w:rPr>
        <w:t>. A</w:t>
      </w:r>
      <w:r w:rsidRPr="009A453B">
        <w:rPr>
          <w:rFonts w:ascii="Arial" w:hAnsi="Arial" w:cs="Arial"/>
          <w:lang w:val="es-MX"/>
        </w:rPr>
        <w:t>demás, evidencia su influencia historicista, un estilo que prevaleció en la época porfirista y que tiene referentes europeos.</w:t>
      </w:r>
    </w:p>
    <w:p w14:paraId="24BB2C87" w14:textId="77777777" w:rsidR="00FC2C26" w:rsidRPr="003421F9" w:rsidRDefault="00FC2C26" w:rsidP="00FC2C2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9B9507E" w14:textId="77777777" w:rsidR="006D5D04" w:rsidRDefault="00FC2C26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A453B">
        <w:rPr>
          <w:rFonts w:ascii="Arial" w:hAnsi="Arial" w:cs="Arial"/>
          <w:lang w:val="es-MX"/>
        </w:rPr>
        <w:t>En 1977 el entonces gobernador de Baja Californ</w:t>
      </w:r>
      <w:r w:rsidR="00A242ED">
        <w:rPr>
          <w:rFonts w:ascii="Arial" w:hAnsi="Arial" w:cs="Arial"/>
          <w:lang w:val="es-MX"/>
        </w:rPr>
        <w:t xml:space="preserve">ia, Milton Castellanos Everardo, </w:t>
      </w:r>
      <w:r w:rsidRPr="009A453B">
        <w:rPr>
          <w:rFonts w:ascii="Arial" w:hAnsi="Arial" w:cs="Arial"/>
          <w:lang w:val="es-MX"/>
        </w:rPr>
        <w:t>concedió a la UABC el icónico edificio para albergar en él a la Rectoría de la máxima casa de estudios.</w:t>
      </w:r>
      <w:r>
        <w:rPr>
          <w:rFonts w:ascii="Arial" w:hAnsi="Arial" w:cs="Arial"/>
          <w:lang w:val="es-MX"/>
        </w:rPr>
        <w:t xml:space="preserve"> Esta obra es re</w:t>
      </w:r>
      <w:r w:rsidRPr="009A453B">
        <w:rPr>
          <w:rFonts w:ascii="Arial" w:hAnsi="Arial" w:cs="Arial"/>
          <w:lang w:val="es-MX"/>
        </w:rPr>
        <w:t xml:space="preserve">presentativa, emblemática, con alto contenido y valor artístico de la arquitectura mexicana de inicios del siglo XX. </w:t>
      </w:r>
    </w:p>
    <w:p w14:paraId="7EC08EE9" w14:textId="77777777" w:rsidR="006D5D04" w:rsidRDefault="006D5D04" w:rsidP="00FC2C2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0D0BDD79" w14:textId="77777777" w:rsidR="00FC2C26" w:rsidRPr="009A453B" w:rsidRDefault="00FC2C26" w:rsidP="00FC2C26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D23722" w:rsidRPr="005208E3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232DB" w14:textId="77777777" w:rsidR="00104926" w:rsidRDefault="00104926">
      <w:r>
        <w:separator/>
      </w:r>
    </w:p>
  </w:endnote>
  <w:endnote w:type="continuationSeparator" w:id="0">
    <w:p w14:paraId="41252BC8" w14:textId="77777777" w:rsidR="00104926" w:rsidRDefault="0010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583D4" w14:textId="77777777" w:rsidR="00104926" w:rsidRDefault="00104926">
      <w:r>
        <w:rPr>
          <w:color w:val="000000"/>
        </w:rPr>
        <w:separator/>
      </w:r>
    </w:p>
  </w:footnote>
  <w:footnote w:type="continuationSeparator" w:id="0">
    <w:p w14:paraId="22047156" w14:textId="77777777" w:rsidR="00104926" w:rsidRDefault="00104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3"/>
  </w:num>
  <w:num w:numId="5">
    <w:abstractNumId w:val="11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7"/>
  </w:num>
  <w:num w:numId="15">
    <w:abstractNumId w:val="7"/>
  </w:num>
  <w:num w:numId="16">
    <w:abstractNumId w:val="13"/>
  </w:num>
  <w:num w:numId="17">
    <w:abstractNumId w:val="10"/>
  </w:num>
  <w:num w:numId="18">
    <w:abstractNumId w:val="9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628B7-21A6-4B9B-9E3C-D2234076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13</cp:revision>
  <cp:lastPrinted>2023-03-24T20:25:00Z</cp:lastPrinted>
  <dcterms:created xsi:type="dcterms:W3CDTF">2023-03-25T01:01:00Z</dcterms:created>
  <dcterms:modified xsi:type="dcterms:W3CDTF">2023-03-25T04:33:00Z</dcterms:modified>
</cp:coreProperties>
</file>